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F493D" w:rsidRPr="003832DC">
        <w:trPr>
          <w:cantSplit/>
          <w:trHeight w:hRule="exact" w:val="851"/>
        </w:trPr>
        <w:tc>
          <w:tcPr>
            <w:tcW w:w="1276" w:type="dxa"/>
            <w:tcBorders>
              <w:bottom w:val="single" w:sz="4" w:space="0" w:color="auto"/>
            </w:tcBorders>
            <w:vAlign w:val="bottom"/>
          </w:tcPr>
          <w:p w:rsidR="001F493D" w:rsidRPr="003832DC" w:rsidRDefault="001F493D" w:rsidP="001F493D">
            <w:pPr>
              <w:spacing w:after="80"/>
              <w:rPr>
                <w:u w:val="single"/>
              </w:rPr>
            </w:pPr>
            <w:bookmarkStart w:id="0" w:name="_GoBack"/>
            <w:bookmarkEnd w:id="0"/>
          </w:p>
        </w:tc>
        <w:tc>
          <w:tcPr>
            <w:tcW w:w="2268" w:type="dxa"/>
            <w:tcBorders>
              <w:bottom w:val="single" w:sz="4" w:space="0" w:color="auto"/>
            </w:tcBorders>
            <w:vAlign w:val="bottom"/>
          </w:tcPr>
          <w:p w:rsidR="001F493D" w:rsidRPr="003832DC" w:rsidRDefault="001F493D" w:rsidP="001F493D">
            <w:pPr>
              <w:spacing w:after="80" w:line="300" w:lineRule="exact"/>
              <w:rPr>
                <w:b/>
                <w:sz w:val="24"/>
                <w:szCs w:val="24"/>
              </w:rPr>
            </w:pPr>
            <w:r w:rsidRPr="003832DC">
              <w:rPr>
                <w:sz w:val="28"/>
                <w:szCs w:val="28"/>
              </w:rPr>
              <w:t>United Nations</w:t>
            </w:r>
          </w:p>
        </w:tc>
        <w:tc>
          <w:tcPr>
            <w:tcW w:w="6095" w:type="dxa"/>
            <w:gridSpan w:val="2"/>
            <w:tcBorders>
              <w:bottom w:val="single" w:sz="4" w:space="0" w:color="auto"/>
            </w:tcBorders>
            <w:vAlign w:val="bottom"/>
          </w:tcPr>
          <w:p w:rsidR="001F493D" w:rsidRPr="003832DC" w:rsidRDefault="001F493D" w:rsidP="001F493D">
            <w:pPr>
              <w:jc w:val="right"/>
            </w:pPr>
            <w:r w:rsidRPr="003832DC">
              <w:rPr>
                <w:sz w:val="40"/>
              </w:rPr>
              <w:t>CCPR</w:t>
            </w:r>
            <w:r>
              <w:t>/C/116</w:t>
            </w:r>
            <w:r w:rsidRPr="003832DC">
              <w:t>/D/</w:t>
            </w:r>
            <w:r>
              <w:t>2060/2011</w:t>
            </w:r>
          </w:p>
        </w:tc>
      </w:tr>
      <w:tr w:rsidR="001F493D" w:rsidRPr="003832DC">
        <w:trPr>
          <w:cantSplit/>
          <w:trHeight w:hRule="exact" w:val="2835"/>
        </w:trPr>
        <w:tc>
          <w:tcPr>
            <w:tcW w:w="1276" w:type="dxa"/>
            <w:tcBorders>
              <w:top w:val="single" w:sz="4" w:space="0" w:color="auto"/>
              <w:bottom w:val="single" w:sz="12" w:space="0" w:color="auto"/>
            </w:tcBorders>
          </w:tcPr>
          <w:p w:rsidR="001F493D" w:rsidRPr="003832DC" w:rsidRDefault="00253DDF" w:rsidP="001F493D">
            <w:pPr>
              <w:spacing w:before="120"/>
            </w:pPr>
            <w:r>
              <w:rPr>
                <w:noProof/>
                <w:lang w:eastAsia="en-GB"/>
              </w:rPr>
              <w:drawing>
                <wp:inline distT="0" distB="0" distL="0" distR="0" wp14:anchorId="5543DB91" wp14:editId="274B3E57">
                  <wp:extent cx="715010" cy="586105"/>
                  <wp:effectExtent l="0" t="0" r="8890" b="444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610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F493D" w:rsidRPr="003832DC" w:rsidRDefault="001F493D" w:rsidP="00F63AAE">
            <w:pPr>
              <w:spacing w:before="120" w:line="380" w:lineRule="exact"/>
              <w:rPr>
                <w:sz w:val="34"/>
              </w:rPr>
            </w:pPr>
            <w:r w:rsidRPr="003832DC">
              <w:rPr>
                <w:b/>
                <w:sz w:val="34"/>
                <w:szCs w:val="40"/>
              </w:rPr>
              <w:t>International Covenan</w:t>
            </w:r>
            <w:r>
              <w:rPr>
                <w:b/>
                <w:sz w:val="34"/>
                <w:szCs w:val="40"/>
              </w:rPr>
              <w:t>t on</w:t>
            </w:r>
            <w:r>
              <w:rPr>
                <w:b/>
                <w:sz w:val="34"/>
                <w:szCs w:val="40"/>
              </w:rPr>
              <w:br/>
              <w:t>Civil and Political Rights</w:t>
            </w:r>
          </w:p>
        </w:tc>
        <w:tc>
          <w:tcPr>
            <w:tcW w:w="2835" w:type="dxa"/>
            <w:tcBorders>
              <w:top w:val="single" w:sz="4" w:space="0" w:color="auto"/>
              <w:bottom w:val="single" w:sz="12" w:space="0" w:color="auto"/>
            </w:tcBorders>
          </w:tcPr>
          <w:p w:rsidR="00C213F2" w:rsidRPr="00463B9A" w:rsidRDefault="00C213F2" w:rsidP="00C213F2">
            <w:pPr>
              <w:spacing w:before="240" w:line="240" w:lineRule="exact"/>
            </w:pPr>
            <w:r w:rsidRPr="00463B9A">
              <w:t xml:space="preserve">Distr.: </w:t>
            </w:r>
            <w:r w:rsidR="00155939">
              <w:t>General</w:t>
            </w:r>
          </w:p>
          <w:p w:rsidR="00C213F2" w:rsidRPr="00463B9A" w:rsidRDefault="002272B4" w:rsidP="00C213F2">
            <w:pPr>
              <w:spacing w:line="240" w:lineRule="exact"/>
            </w:pPr>
            <w:r>
              <w:t>3</w:t>
            </w:r>
            <w:r w:rsidR="00C75BEA">
              <w:t xml:space="preserve"> May </w:t>
            </w:r>
            <w:r w:rsidR="00C213F2">
              <w:t>2016</w:t>
            </w:r>
          </w:p>
          <w:p w:rsidR="00C213F2" w:rsidRPr="00463B9A" w:rsidRDefault="00C213F2" w:rsidP="00C213F2">
            <w:pPr>
              <w:spacing w:line="240" w:lineRule="exact"/>
            </w:pPr>
          </w:p>
          <w:p w:rsidR="00C213F2" w:rsidRPr="00463B9A" w:rsidRDefault="00C213F2" w:rsidP="00C213F2">
            <w:pPr>
              <w:spacing w:line="240" w:lineRule="exact"/>
            </w:pPr>
            <w:r w:rsidRPr="00463B9A">
              <w:t>Original: English</w:t>
            </w:r>
          </w:p>
          <w:p w:rsidR="001F493D" w:rsidRPr="003832DC" w:rsidRDefault="001F493D" w:rsidP="00DC0AEB">
            <w:pPr>
              <w:spacing w:line="240" w:lineRule="exact"/>
            </w:pPr>
          </w:p>
        </w:tc>
      </w:tr>
    </w:tbl>
    <w:p w:rsidR="00E74164" w:rsidRPr="00E74164" w:rsidRDefault="00E74164" w:rsidP="00E74164">
      <w:pPr>
        <w:spacing w:line="20" w:lineRule="exact"/>
        <w:rPr>
          <w:b/>
          <w:sz w:val="2"/>
          <w:szCs w:val="24"/>
          <w:lang w:val="en-US"/>
        </w:rPr>
      </w:pPr>
    </w:p>
    <w:p w:rsidR="009D376D" w:rsidRPr="008216A5" w:rsidRDefault="00C213F2" w:rsidP="009D376D">
      <w:pPr>
        <w:spacing w:before="120"/>
        <w:rPr>
          <w:b/>
          <w:sz w:val="24"/>
          <w:szCs w:val="24"/>
          <w:lang w:val="en-US"/>
        </w:rPr>
      </w:pPr>
      <w:r w:rsidRPr="008216A5">
        <w:rPr>
          <w:b/>
          <w:sz w:val="24"/>
          <w:szCs w:val="24"/>
          <w:lang w:val="en-US"/>
        </w:rPr>
        <w:t>Human Rights Committee</w:t>
      </w:r>
      <w:r w:rsidR="009D376D" w:rsidRPr="009D376D">
        <w:rPr>
          <w:b/>
          <w:noProof/>
          <w:sz w:val="24"/>
          <w:szCs w:val="24"/>
          <w:lang w:eastAsia="en-GB"/>
        </w:rPr>
        <w:drawing>
          <wp:anchor distT="0" distB="0" distL="114300" distR="114300" simplePos="0" relativeHeight="251659264" behindDoc="0" locked="0" layoutInCell="1" allowOverlap="1" wp14:anchorId="2D7B3599" wp14:editId="6AC3EB0C">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F493D" w:rsidRPr="003832DC" w:rsidRDefault="001F493D">
      <w:pPr>
        <w:pStyle w:val="HChG"/>
      </w:pPr>
      <w:r w:rsidRPr="003832DC">
        <w:tab/>
      </w:r>
      <w:r w:rsidRPr="003832DC">
        <w:tab/>
      </w:r>
      <w:r w:rsidR="00356018" w:rsidRPr="00356018">
        <w:t>Views adopted by the Committee under article 5</w:t>
      </w:r>
      <w:r w:rsidR="00B621AE">
        <w:t xml:space="preserve"> </w:t>
      </w:r>
      <w:r w:rsidR="00356018" w:rsidRPr="00356018">
        <w:t xml:space="preserve">(4) </w:t>
      </w:r>
      <w:r w:rsidR="00F10A3E">
        <w:br/>
      </w:r>
      <w:r w:rsidR="00356018" w:rsidRPr="00356018">
        <w:t xml:space="preserve">of the Optional Protocol, concerning communication </w:t>
      </w:r>
      <w:r w:rsidR="00F10A3E">
        <w:br/>
      </w:r>
      <w:r w:rsidR="00356018" w:rsidRPr="00356018">
        <w:t xml:space="preserve">No. </w:t>
      </w:r>
      <w:r w:rsidR="00356018">
        <w:t>2060/2011</w:t>
      </w:r>
      <w:r w:rsidR="00356018" w:rsidRPr="009B3268">
        <w:rPr>
          <w:b w:val="0"/>
          <w:sz w:val="20"/>
        </w:rPr>
        <w:footnoteReference w:customMarkFollows="1" w:id="2"/>
        <w:t>*</w:t>
      </w:r>
      <w:r w:rsidR="00F10A3E" w:rsidRPr="009B3268">
        <w:rPr>
          <w:b w:val="0"/>
          <w:position w:val="4"/>
          <w:sz w:val="20"/>
        </w:rPr>
        <w:t>,</w:t>
      </w:r>
      <w:r w:rsidR="00356018" w:rsidRPr="009B3268">
        <w:rPr>
          <w:b w:val="0"/>
          <w:sz w:val="20"/>
          <w:vertAlign w:val="superscript"/>
        </w:rPr>
        <w:t xml:space="preserve"> </w:t>
      </w:r>
      <w:r w:rsidR="00356018" w:rsidRPr="009B3268">
        <w:rPr>
          <w:b w:val="0"/>
          <w:sz w:val="20"/>
        </w:rPr>
        <w:footnoteReference w:customMarkFollows="1" w:id="3"/>
        <w:t>**</w:t>
      </w:r>
    </w:p>
    <w:p w:rsidR="001F493D" w:rsidRPr="003832DC" w:rsidRDefault="00B621AE" w:rsidP="009B3268">
      <w:pPr>
        <w:pStyle w:val="SingleTxtG"/>
        <w:spacing w:after="100"/>
        <w:ind w:left="4536" w:hanging="3402"/>
        <w:jc w:val="left"/>
        <w:rPr>
          <w:i/>
          <w:lang w:val="en-GB"/>
        </w:rPr>
      </w:pPr>
      <w:r>
        <w:rPr>
          <w:i/>
          <w:lang w:val="en-GB"/>
        </w:rPr>
        <w:t>Communication s</w:t>
      </w:r>
      <w:r w:rsidR="001F493D" w:rsidRPr="003832DC">
        <w:rPr>
          <w:i/>
          <w:lang w:val="en-GB"/>
        </w:rPr>
        <w:t>ubmitted by:</w:t>
      </w:r>
      <w:r w:rsidR="001F493D" w:rsidRPr="003832DC">
        <w:rPr>
          <w:i/>
          <w:lang w:val="en-GB"/>
        </w:rPr>
        <w:tab/>
      </w:r>
      <w:r w:rsidR="001F493D">
        <w:rPr>
          <w:lang w:val="en-GB"/>
        </w:rPr>
        <w:t>W</w:t>
      </w:r>
      <w:r w:rsidR="00155939">
        <w:rPr>
          <w:lang w:val="en-GB"/>
        </w:rPr>
        <w:t>.M.G.</w:t>
      </w:r>
      <w:r w:rsidR="001F493D">
        <w:rPr>
          <w:lang w:val="en-GB"/>
        </w:rPr>
        <w:t xml:space="preserve"> </w:t>
      </w:r>
      <w:r w:rsidR="001F493D" w:rsidRPr="003832DC">
        <w:rPr>
          <w:lang w:val="en-GB"/>
        </w:rPr>
        <w:t xml:space="preserve">(represented by counsel, </w:t>
      </w:r>
      <w:r w:rsidR="001F493D">
        <w:rPr>
          <w:lang w:val="en-GB"/>
        </w:rPr>
        <w:t>Carole Simone Dahan</w:t>
      </w:r>
      <w:r w:rsidR="001F493D" w:rsidRPr="003832DC">
        <w:rPr>
          <w:lang w:val="en-GB"/>
        </w:rPr>
        <w:t>)</w:t>
      </w:r>
    </w:p>
    <w:p w:rsidR="001F493D" w:rsidRPr="003832DC" w:rsidRDefault="001F493D" w:rsidP="009B3268">
      <w:pPr>
        <w:pStyle w:val="SingleTxtG"/>
        <w:spacing w:after="100"/>
        <w:ind w:left="4536" w:hanging="3402"/>
        <w:jc w:val="left"/>
        <w:rPr>
          <w:i/>
          <w:lang w:val="en-GB"/>
        </w:rPr>
      </w:pPr>
      <w:r w:rsidRPr="003832DC">
        <w:rPr>
          <w:i/>
          <w:lang w:val="en-GB"/>
        </w:rPr>
        <w:t>Alleged victim:</w:t>
      </w:r>
      <w:r w:rsidRPr="003832DC">
        <w:rPr>
          <w:i/>
          <w:lang w:val="en-GB"/>
        </w:rPr>
        <w:tab/>
      </w:r>
      <w:r w:rsidRPr="003832DC">
        <w:rPr>
          <w:lang w:val="en-GB"/>
        </w:rPr>
        <w:t>The author</w:t>
      </w:r>
    </w:p>
    <w:p w:rsidR="001F493D" w:rsidRPr="003832DC" w:rsidRDefault="001F493D" w:rsidP="009B3268">
      <w:pPr>
        <w:pStyle w:val="SingleTxtG"/>
        <w:spacing w:after="100"/>
        <w:ind w:left="4536" w:hanging="3402"/>
        <w:jc w:val="left"/>
        <w:rPr>
          <w:i/>
          <w:lang w:val="en-GB"/>
        </w:rPr>
      </w:pPr>
      <w:r w:rsidRPr="003832DC">
        <w:rPr>
          <w:i/>
          <w:lang w:val="en-GB"/>
        </w:rPr>
        <w:t xml:space="preserve">State </w:t>
      </w:r>
      <w:r w:rsidR="00B621AE">
        <w:rPr>
          <w:i/>
          <w:lang w:val="en-GB"/>
        </w:rPr>
        <w:t>p</w:t>
      </w:r>
      <w:r w:rsidRPr="003832DC">
        <w:rPr>
          <w:i/>
          <w:lang w:val="en-GB"/>
        </w:rPr>
        <w:t>arty:</w:t>
      </w:r>
      <w:r w:rsidRPr="003832DC">
        <w:rPr>
          <w:i/>
          <w:lang w:val="en-GB"/>
        </w:rPr>
        <w:tab/>
      </w:r>
      <w:r>
        <w:rPr>
          <w:lang w:val="en-GB"/>
        </w:rPr>
        <w:t>Canada</w:t>
      </w:r>
    </w:p>
    <w:p w:rsidR="001F493D" w:rsidRPr="003832DC" w:rsidRDefault="001F493D" w:rsidP="009B3268">
      <w:pPr>
        <w:pStyle w:val="SingleTxtG"/>
        <w:spacing w:after="100"/>
        <w:ind w:left="4536" w:hanging="3402"/>
        <w:jc w:val="left"/>
        <w:rPr>
          <w:i/>
          <w:lang w:val="en-GB"/>
        </w:rPr>
      </w:pPr>
      <w:r w:rsidRPr="003832DC">
        <w:rPr>
          <w:i/>
          <w:lang w:val="en-GB"/>
        </w:rPr>
        <w:t>Date of communication:</w:t>
      </w:r>
      <w:r w:rsidRPr="003832DC">
        <w:rPr>
          <w:i/>
          <w:lang w:val="en-GB"/>
        </w:rPr>
        <w:tab/>
      </w:r>
      <w:r>
        <w:rPr>
          <w:lang w:val="en-GB"/>
        </w:rPr>
        <w:t>10 May 2011</w:t>
      </w:r>
      <w:r w:rsidRPr="003832DC">
        <w:rPr>
          <w:lang w:val="en-GB"/>
        </w:rPr>
        <w:t xml:space="preserve"> (initial submission)</w:t>
      </w:r>
    </w:p>
    <w:p w:rsidR="001F493D" w:rsidRPr="003832DC" w:rsidRDefault="001F493D" w:rsidP="009B3268">
      <w:pPr>
        <w:pStyle w:val="SingleTxtG"/>
        <w:spacing w:after="100"/>
        <w:ind w:left="4536" w:hanging="3402"/>
        <w:jc w:val="left"/>
        <w:rPr>
          <w:i/>
          <w:lang w:val="en-GB"/>
        </w:rPr>
      </w:pPr>
      <w:r w:rsidRPr="003832DC">
        <w:rPr>
          <w:i/>
          <w:lang w:val="en-GB"/>
        </w:rPr>
        <w:t>Document references:</w:t>
      </w:r>
      <w:r w:rsidRPr="003832DC">
        <w:rPr>
          <w:i/>
          <w:lang w:val="en-GB"/>
        </w:rPr>
        <w:tab/>
      </w:r>
      <w:r w:rsidR="00356018" w:rsidRPr="00686139">
        <w:t>Decision taken pursuant to</w:t>
      </w:r>
      <w:r w:rsidR="00356018" w:rsidRPr="00463B9A">
        <w:t xml:space="preserve"> </w:t>
      </w:r>
      <w:r w:rsidR="00356018" w:rsidRPr="00C75BEA">
        <w:t>rule</w:t>
      </w:r>
      <w:r w:rsidR="00356018" w:rsidRPr="00C75BEA">
        <w:rPr>
          <w:lang w:val="en-GB"/>
        </w:rPr>
        <w:t xml:space="preserve"> </w:t>
      </w:r>
      <w:r w:rsidR="00356018" w:rsidRPr="00C75BEA">
        <w:t>97</w:t>
      </w:r>
      <w:r w:rsidR="00356018" w:rsidRPr="00085509">
        <w:rPr>
          <w:lang w:val="en-GB"/>
        </w:rPr>
        <w:t xml:space="preserve"> </w:t>
      </w:r>
      <w:r w:rsidR="00356018">
        <w:rPr>
          <w:lang w:val="en-GB"/>
        </w:rPr>
        <w:t>of the Committee’s rules of procedure</w:t>
      </w:r>
      <w:r w:rsidRPr="003832DC">
        <w:rPr>
          <w:lang w:val="en-GB"/>
        </w:rPr>
        <w:t xml:space="preserve">, transmitted to the State party on </w:t>
      </w:r>
      <w:r>
        <w:rPr>
          <w:lang w:val="en-GB"/>
        </w:rPr>
        <w:t xml:space="preserve">12 May 2011 </w:t>
      </w:r>
      <w:r w:rsidRPr="003832DC">
        <w:rPr>
          <w:lang w:val="en-GB"/>
        </w:rPr>
        <w:t>(not issued in document form)</w:t>
      </w:r>
    </w:p>
    <w:p w:rsidR="00F10A3E" w:rsidRDefault="001F493D" w:rsidP="009B3268">
      <w:pPr>
        <w:pStyle w:val="SingleTxtG"/>
        <w:spacing w:after="100"/>
        <w:ind w:left="4536" w:hanging="3402"/>
        <w:jc w:val="left"/>
        <w:rPr>
          <w:i/>
          <w:lang w:val="en-GB"/>
        </w:rPr>
      </w:pPr>
      <w:r w:rsidRPr="003832DC">
        <w:rPr>
          <w:i/>
          <w:lang w:val="en-GB"/>
        </w:rPr>
        <w:t xml:space="preserve">Date of adoption </w:t>
      </w:r>
      <w:r w:rsidRPr="004F0528">
        <w:rPr>
          <w:i/>
          <w:lang w:val="en-GB"/>
        </w:rPr>
        <w:t>of Views:</w:t>
      </w:r>
      <w:r w:rsidRPr="003832DC">
        <w:rPr>
          <w:i/>
          <w:lang w:val="en-GB"/>
        </w:rPr>
        <w:tab/>
      </w:r>
      <w:r w:rsidR="00155939">
        <w:rPr>
          <w:lang w:val="en-GB"/>
        </w:rPr>
        <w:t xml:space="preserve">11 </w:t>
      </w:r>
      <w:r>
        <w:rPr>
          <w:lang w:val="en-GB"/>
        </w:rPr>
        <w:t>March 2016</w:t>
      </w:r>
    </w:p>
    <w:p w:rsidR="001F493D" w:rsidRPr="00B621AE" w:rsidRDefault="00EF7D62" w:rsidP="009B3268">
      <w:pPr>
        <w:pStyle w:val="SingleTxtG"/>
        <w:spacing w:after="100"/>
        <w:ind w:left="4536" w:hanging="3402"/>
        <w:jc w:val="left"/>
        <w:rPr>
          <w:lang w:val="en-GB"/>
        </w:rPr>
      </w:pPr>
      <w:r>
        <w:rPr>
          <w:i/>
          <w:lang w:val="en-GB"/>
        </w:rPr>
        <w:t>Subject matter:</w:t>
      </w:r>
      <w:r w:rsidR="001F493D" w:rsidRPr="00B67F3C">
        <w:rPr>
          <w:i/>
          <w:lang w:val="en-GB"/>
        </w:rPr>
        <w:tab/>
      </w:r>
      <w:r w:rsidR="001F493D" w:rsidRPr="000D3758">
        <w:rPr>
          <w:lang w:val="en-GB"/>
        </w:rPr>
        <w:t xml:space="preserve">Deportation to </w:t>
      </w:r>
      <w:r w:rsidR="001F493D" w:rsidRPr="00EC2F7C">
        <w:rPr>
          <w:lang w:val="en-GB"/>
        </w:rPr>
        <w:t xml:space="preserve">Zimbabwe of a person </w:t>
      </w:r>
      <w:r w:rsidR="00B621AE">
        <w:rPr>
          <w:lang w:val="en-GB"/>
        </w:rPr>
        <w:t xml:space="preserve">who is </w:t>
      </w:r>
      <w:r w:rsidR="001F493D" w:rsidRPr="00EC2F7C">
        <w:rPr>
          <w:lang w:val="en-GB"/>
        </w:rPr>
        <w:t>HIV</w:t>
      </w:r>
      <w:r w:rsidR="005C1329">
        <w:rPr>
          <w:lang w:val="en-GB"/>
        </w:rPr>
        <w:t>-</w:t>
      </w:r>
      <w:r w:rsidR="001F493D" w:rsidRPr="00EC2F7C">
        <w:rPr>
          <w:lang w:val="en-GB"/>
        </w:rPr>
        <w:t>positive</w:t>
      </w:r>
    </w:p>
    <w:p w:rsidR="001F493D" w:rsidRPr="00B67F3C" w:rsidRDefault="001F493D" w:rsidP="009B3268">
      <w:pPr>
        <w:pStyle w:val="SingleTxtG"/>
        <w:tabs>
          <w:tab w:val="left" w:pos="1276"/>
        </w:tabs>
        <w:spacing w:after="100"/>
        <w:ind w:left="4536" w:hanging="3402"/>
        <w:jc w:val="left"/>
        <w:rPr>
          <w:lang w:val="en-GB"/>
        </w:rPr>
      </w:pPr>
      <w:r w:rsidRPr="00B67F3C">
        <w:rPr>
          <w:i/>
          <w:lang w:val="en-GB"/>
        </w:rPr>
        <w:t>Procedural issues:</w:t>
      </w:r>
      <w:r w:rsidRPr="00B67F3C">
        <w:rPr>
          <w:lang w:val="en-GB"/>
        </w:rPr>
        <w:tab/>
      </w:r>
      <w:r w:rsidR="002D6E83">
        <w:rPr>
          <w:lang w:val="en-GB"/>
        </w:rPr>
        <w:t xml:space="preserve">Exhaustion of domestic </w:t>
      </w:r>
      <w:r w:rsidR="002D6E83" w:rsidRPr="00EB4774">
        <w:rPr>
          <w:lang w:val="en-GB"/>
        </w:rPr>
        <w:t xml:space="preserve">remedies, </w:t>
      </w:r>
      <w:r w:rsidR="002D6E83" w:rsidRPr="009B3268">
        <w:rPr>
          <w:i/>
          <w:lang w:val="en-GB"/>
        </w:rPr>
        <w:t>ratione materiae</w:t>
      </w:r>
      <w:r w:rsidR="00B621AE">
        <w:rPr>
          <w:lang w:val="en-GB"/>
        </w:rPr>
        <w:t>;</w:t>
      </w:r>
      <w:r w:rsidR="002D6E83" w:rsidRPr="00EB4774">
        <w:rPr>
          <w:lang w:val="en-GB"/>
        </w:rPr>
        <w:t xml:space="preserve"> </w:t>
      </w:r>
      <w:r w:rsidR="00B621AE">
        <w:rPr>
          <w:lang w:val="en-GB"/>
        </w:rPr>
        <w:t>f</w:t>
      </w:r>
      <w:r w:rsidRPr="00EB4774">
        <w:rPr>
          <w:lang w:val="en-GB"/>
        </w:rPr>
        <w:t>ailure to sufficiently</w:t>
      </w:r>
      <w:r w:rsidRPr="002D6E83">
        <w:rPr>
          <w:lang w:val="en-GB"/>
        </w:rPr>
        <w:t xml:space="preserve"> substantiate allegations</w:t>
      </w:r>
    </w:p>
    <w:p w:rsidR="001F493D" w:rsidRPr="00B67F3C" w:rsidRDefault="001F493D" w:rsidP="009B3268">
      <w:pPr>
        <w:pStyle w:val="SingleTxtG"/>
        <w:spacing w:after="100"/>
        <w:ind w:left="4536" w:hanging="3402"/>
        <w:jc w:val="left"/>
        <w:rPr>
          <w:lang w:val="en-GB"/>
        </w:rPr>
      </w:pPr>
      <w:r w:rsidRPr="00B67F3C">
        <w:rPr>
          <w:i/>
          <w:lang w:val="en-GB"/>
        </w:rPr>
        <w:t>Substantive issues:</w:t>
      </w:r>
      <w:r w:rsidRPr="00B67F3C">
        <w:rPr>
          <w:lang w:val="en-GB"/>
        </w:rPr>
        <w:t xml:space="preserve"> </w:t>
      </w:r>
      <w:r w:rsidRPr="00B67F3C">
        <w:rPr>
          <w:lang w:val="en-GB"/>
        </w:rPr>
        <w:tab/>
      </w:r>
      <w:r>
        <w:t xml:space="preserve">Right to an effective remedy; right to life; torture </w:t>
      </w:r>
      <w:r w:rsidR="00B621AE">
        <w:rPr>
          <w:lang w:val="en-US"/>
        </w:rPr>
        <w:t>or</w:t>
      </w:r>
      <w:r w:rsidR="00B621AE">
        <w:t xml:space="preserve"> </w:t>
      </w:r>
      <w:r>
        <w:t>cruel, inhuman or degrading treatment</w:t>
      </w:r>
      <w:r w:rsidR="00B621AE">
        <w:rPr>
          <w:lang w:val="en-US"/>
        </w:rPr>
        <w:t xml:space="preserve"> or punishment</w:t>
      </w:r>
      <w:r>
        <w:t xml:space="preserve">; </w:t>
      </w:r>
      <w:r w:rsidR="002D6E83" w:rsidRPr="002D6E83">
        <w:rPr>
          <w:lang w:val="en-GB"/>
        </w:rPr>
        <w:t>fair trial</w:t>
      </w:r>
      <w:r>
        <w:t>; right to privacy, family and reputation; protection of the family</w:t>
      </w:r>
    </w:p>
    <w:p w:rsidR="001F493D" w:rsidRPr="00B67F3C" w:rsidRDefault="001F493D" w:rsidP="009B3268">
      <w:pPr>
        <w:pStyle w:val="SingleTxtG"/>
        <w:spacing w:after="100"/>
        <w:ind w:left="4536" w:hanging="3402"/>
        <w:jc w:val="left"/>
        <w:rPr>
          <w:lang w:val="en-GB"/>
        </w:rPr>
      </w:pPr>
      <w:r w:rsidRPr="00B67F3C">
        <w:rPr>
          <w:i/>
          <w:lang w:val="en-GB"/>
        </w:rPr>
        <w:t>Articles of the Covenant:</w:t>
      </w:r>
      <w:r>
        <w:rPr>
          <w:lang w:val="en-GB"/>
        </w:rPr>
        <w:t xml:space="preserve"> </w:t>
      </w:r>
      <w:r>
        <w:rPr>
          <w:lang w:val="en-GB"/>
        </w:rPr>
        <w:tab/>
        <w:t>2</w:t>
      </w:r>
      <w:r w:rsidR="00B621AE">
        <w:rPr>
          <w:lang w:val="en-GB"/>
        </w:rPr>
        <w:t xml:space="preserve"> </w:t>
      </w:r>
      <w:r>
        <w:rPr>
          <w:lang w:val="en-GB"/>
        </w:rPr>
        <w:t>(3), 6</w:t>
      </w:r>
      <w:r w:rsidR="00B621AE">
        <w:rPr>
          <w:lang w:val="en-GB"/>
        </w:rPr>
        <w:t xml:space="preserve"> </w:t>
      </w:r>
      <w:r>
        <w:rPr>
          <w:lang w:val="en-GB"/>
        </w:rPr>
        <w:t xml:space="preserve">(1), </w:t>
      </w:r>
      <w:r w:rsidR="002D6E83">
        <w:rPr>
          <w:lang w:val="en-GB"/>
        </w:rPr>
        <w:t>7, 14</w:t>
      </w:r>
      <w:r w:rsidR="00B621AE">
        <w:rPr>
          <w:lang w:val="en-GB"/>
        </w:rPr>
        <w:t xml:space="preserve"> </w:t>
      </w:r>
      <w:r w:rsidR="002D6E83">
        <w:rPr>
          <w:lang w:val="en-GB"/>
        </w:rPr>
        <w:t>(1)</w:t>
      </w:r>
      <w:r w:rsidR="00B621AE">
        <w:rPr>
          <w:lang w:val="en-GB"/>
        </w:rPr>
        <w:t xml:space="preserve"> </w:t>
      </w:r>
      <w:r w:rsidR="002D6E83">
        <w:rPr>
          <w:lang w:val="en-GB"/>
        </w:rPr>
        <w:t>(2)</w:t>
      </w:r>
      <w:r w:rsidR="00B621AE">
        <w:rPr>
          <w:lang w:val="en-GB"/>
        </w:rPr>
        <w:t xml:space="preserve"> and </w:t>
      </w:r>
      <w:r w:rsidR="002D6E83">
        <w:rPr>
          <w:lang w:val="en-GB"/>
        </w:rPr>
        <w:t>(3</w:t>
      </w:r>
      <w:r w:rsidR="00B621AE">
        <w:rPr>
          <w:lang w:val="en-GB"/>
        </w:rPr>
        <w:t>) (</w:t>
      </w:r>
      <w:r w:rsidR="002D6E83">
        <w:rPr>
          <w:lang w:val="en-GB"/>
        </w:rPr>
        <w:t>c),</w:t>
      </w:r>
      <w:r>
        <w:rPr>
          <w:lang w:val="en-GB"/>
        </w:rPr>
        <w:t xml:space="preserve"> 17 and 23</w:t>
      </w:r>
      <w:r w:rsidR="00B621AE">
        <w:rPr>
          <w:lang w:val="en-GB"/>
        </w:rPr>
        <w:t xml:space="preserve"> </w:t>
      </w:r>
      <w:r>
        <w:rPr>
          <w:lang w:val="en-GB"/>
        </w:rPr>
        <w:t>(1)</w:t>
      </w:r>
    </w:p>
    <w:p w:rsidR="000B5183" w:rsidRDefault="001F493D" w:rsidP="009B3268">
      <w:pPr>
        <w:pStyle w:val="SingleTxtG"/>
        <w:spacing w:after="100"/>
        <w:ind w:left="4536" w:hanging="3402"/>
        <w:jc w:val="left"/>
        <w:rPr>
          <w:lang w:val="en-US"/>
        </w:rPr>
      </w:pPr>
      <w:r w:rsidRPr="007A572C">
        <w:rPr>
          <w:i/>
          <w:lang w:val="en-GB"/>
        </w:rPr>
        <w:t>Articles of the Optional Protocol:</w:t>
      </w:r>
      <w:r w:rsidRPr="007A572C">
        <w:rPr>
          <w:lang w:val="en-GB"/>
        </w:rPr>
        <w:tab/>
        <w:t>2</w:t>
      </w:r>
      <w:r w:rsidR="002D6E83">
        <w:rPr>
          <w:lang w:val="en-GB"/>
        </w:rPr>
        <w:t>, 3 and 5</w:t>
      </w:r>
      <w:r w:rsidR="00C213F2">
        <w:rPr>
          <w:lang w:val="en-GB"/>
        </w:rPr>
        <w:t xml:space="preserve"> </w:t>
      </w:r>
      <w:r w:rsidR="002D6E83">
        <w:rPr>
          <w:lang w:val="en-GB"/>
        </w:rPr>
        <w:t>(2</w:t>
      </w:r>
      <w:r w:rsidR="00B621AE">
        <w:rPr>
          <w:lang w:val="en-GB"/>
        </w:rPr>
        <w:t>) (</w:t>
      </w:r>
      <w:r w:rsidR="002D6E83">
        <w:rPr>
          <w:lang w:val="en-GB"/>
        </w:rPr>
        <w:t>b)</w:t>
      </w:r>
    </w:p>
    <w:p w:rsidR="0011353C" w:rsidRDefault="001F493D" w:rsidP="000D3758">
      <w:pPr>
        <w:pStyle w:val="SingleTxtG"/>
        <w:rPr>
          <w:lang w:val="en-US"/>
        </w:rPr>
      </w:pPr>
      <w:r w:rsidRPr="003832DC">
        <w:br w:type="page"/>
      </w:r>
      <w:r w:rsidRPr="003832DC">
        <w:rPr>
          <w:lang w:val="en-GB"/>
        </w:rPr>
        <w:lastRenderedPageBreak/>
        <w:t>1.1</w:t>
      </w:r>
      <w:r w:rsidRPr="003832DC">
        <w:rPr>
          <w:lang w:val="en-GB"/>
        </w:rPr>
        <w:tab/>
        <w:t xml:space="preserve">The author of the </w:t>
      </w:r>
      <w:r w:rsidRPr="00C213F2">
        <w:t>communication</w:t>
      </w:r>
      <w:r w:rsidRPr="003832DC">
        <w:rPr>
          <w:lang w:val="en-GB"/>
        </w:rPr>
        <w:t xml:space="preserve"> </w:t>
      </w:r>
      <w:r>
        <w:rPr>
          <w:lang w:val="en-GB"/>
        </w:rPr>
        <w:t>is W</w:t>
      </w:r>
      <w:r w:rsidR="00155939">
        <w:rPr>
          <w:lang w:val="en-GB"/>
        </w:rPr>
        <w:t>.M.G.</w:t>
      </w:r>
      <w:r>
        <w:rPr>
          <w:lang w:val="en-GB"/>
        </w:rPr>
        <w:t xml:space="preserve">, </w:t>
      </w:r>
      <w:r w:rsidR="00B621AE">
        <w:rPr>
          <w:lang w:val="en-GB"/>
        </w:rPr>
        <w:t xml:space="preserve">a national of </w:t>
      </w:r>
      <w:r>
        <w:rPr>
          <w:lang w:val="en-GB"/>
        </w:rPr>
        <w:t>Zimbabwe</w:t>
      </w:r>
      <w:r w:rsidRPr="00A37DA6">
        <w:rPr>
          <w:lang w:val="en-GB"/>
        </w:rPr>
        <w:t xml:space="preserve"> born on</w:t>
      </w:r>
      <w:r>
        <w:rPr>
          <w:lang w:val="en-GB"/>
        </w:rPr>
        <w:t xml:space="preserve"> 29 June 1970. He claims that his return to Zimbabwe would constitute a violation of his rights under article</w:t>
      </w:r>
      <w:r w:rsidR="00B621AE">
        <w:rPr>
          <w:lang w:val="en-GB"/>
        </w:rPr>
        <w:t>s</w:t>
      </w:r>
      <w:r>
        <w:rPr>
          <w:lang w:val="en-GB"/>
        </w:rPr>
        <w:t xml:space="preserve"> 2</w:t>
      </w:r>
      <w:r w:rsidR="00B621AE">
        <w:rPr>
          <w:lang w:val="en-GB"/>
        </w:rPr>
        <w:t xml:space="preserve"> </w:t>
      </w:r>
      <w:r>
        <w:rPr>
          <w:lang w:val="en-GB"/>
        </w:rPr>
        <w:t>(3), 6</w:t>
      </w:r>
      <w:r w:rsidR="00B621AE">
        <w:rPr>
          <w:lang w:val="en-GB"/>
        </w:rPr>
        <w:t xml:space="preserve"> </w:t>
      </w:r>
      <w:r>
        <w:rPr>
          <w:lang w:val="en-GB"/>
        </w:rPr>
        <w:t xml:space="preserve">(1), 7, </w:t>
      </w:r>
      <w:r w:rsidR="002D6E83">
        <w:rPr>
          <w:lang w:val="en-GB"/>
        </w:rPr>
        <w:t>14</w:t>
      </w:r>
      <w:r w:rsidR="00B621AE">
        <w:rPr>
          <w:lang w:val="en-GB"/>
        </w:rPr>
        <w:t xml:space="preserve"> </w:t>
      </w:r>
      <w:r w:rsidR="002D6E83">
        <w:rPr>
          <w:lang w:val="en-GB"/>
        </w:rPr>
        <w:t>(1)</w:t>
      </w:r>
      <w:r w:rsidR="00B621AE">
        <w:rPr>
          <w:lang w:val="en-GB"/>
        </w:rPr>
        <w:t xml:space="preserve"> </w:t>
      </w:r>
      <w:r w:rsidR="002D6E83">
        <w:rPr>
          <w:lang w:val="en-GB"/>
        </w:rPr>
        <w:t>(2)</w:t>
      </w:r>
      <w:r w:rsidR="00B621AE">
        <w:rPr>
          <w:lang w:val="en-GB"/>
        </w:rPr>
        <w:t xml:space="preserve"> and </w:t>
      </w:r>
      <w:r w:rsidR="002D6E83">
        <w:rPr>
          <w:lang w:val="en-GB"/>
        </w:rPr>
        <w:t>(3</w:t>
      </w:r>
      <w:r w:rsidR="00B621AE">
        <w:rPr>
          <w:lang w:val="en-GB"/>
        </w:rPr>
        <w:t>) (</w:t>
      </w:r>
      <w:r w:rsidR="002D6E83">
        <w:rPr>
          <w:lang w:val="en-GB"/>
        </w:rPr>
        <w:t xml:space="preserve">c), </w:t>
      </w:r>
      <w:r>
        <w:rPr>
          <w:lang w:val="en-GB"/>
        </w:rPr>
        <w:t>17 and 23</w:t>
      </w:r>
      <w:r w:rsidR="00B621AE">
        <w:rPr>
          <w:lang w:val="en-GB"/>
        </w:rPr>
        <w:t xml:space="preserve"> </w:t>
      </w:r>
      <w:r>
        <w:rPr>
          <w:lang w:val="en-GB"/>
        </w:rPr>
        <w:t>(1) of the Covenant.</w:t>
      </w:r>
      <w:r w:rsidR="002D6E83" w:rsidRPr="00CE2DE2">
        <w:rPr>
          <w:rStyle w:val="FootnoteReference"/>
        </w:rPr>
        <w:footnoteReference w:id="4"/>
      </w:r>
      <w:r w:rsidR="00672CFD">
        <w:rPr>
          <w:lang w:val="en-GB"/>
        </w:rPr>
        <w:t xml:space="preserve"> </w:t>
      </w:r>
      <w:r w:rsidR="0011353C" w:rsidRPr="00463B9A">
        <w:t xml:space="preserve">The Optional </w:t>
      </w:r>
      <w:r w:rsidR="0011353C" w:rsidRPr="00E20C09">
        <w:t>Protocol</w:t>
      </w:r>
      <w:r w:rsidR="0011353C" w:rsidRPr="00463B9A">
        <w:t xml:space="preserve"> to the Covenant entered into force for </w:t>
      </w:r>
      <w:r w:rsidR="0011353C">
        <w:t>the State party</w:t>
      </w:r>
      <w:r w:rsidR="0011353C" w:rsidRPr="00463B9A">
        <w:t xml:space="preserve"> on 19 August 1976.</w:t>
      </w:r>
      <w:r w:rsidR="0011353C">
        <w:t xml:space="preserve"> </w:t>
      </w:r>
      <w:r w:rsidR="00E958AB">
        <w:rPr>
          <w:lang w:val="en-GB"/>
        </w:rPr>
        <w:t xml:space="preserve">The author </w:t>
      </w:r>
      <w:r>
        <w:rPr>
          <w:lang w:val="en-GB"/>
        </w:rPr>
        <w:t xml:space="preserve">is </w:t>
      </w:r>
      <w:r w:rsidRPr="003832DC">
        <w:rPr>
          <w:lang w:val="en-GB"/>
        </w:rPr>
        <w:t>represented by counsel</w:t>
      </w:r>
      <w:r w:rsidR="0011353C">
        <w:rPr>
          <w:lang w:val="en-GB"/>
        </w:rPr>
        <w:t>, Carole Simone Dahan</w:t>
      </w:r>
      <w:r w:rsidRPr="003832DC">
        <w:rPr>
          <w:lang w:val="en-GB"/>
        </w:rPr>
        <w:t>.</w:t>
      </w:r>
    </w:p>
    <w:p w:rsidR="00940037" w:rsidRDefault="001F493D" w:rsidP="000D3758">
      <w:pPr>
        <w:pStyle w:val="SingleTxtG"/>
      </w:pPr>
      <w:r w:rsidRPr="003832DC">
        <w:t>1.2</w:t>
      </w:r>
      <w:r w:rsidRPr="003832DC">
        <w:tab/>
      </w:r>
      <w:r w:rsidRPr="006111FD">
        <w:t xml:space="preserve">On 12 May 2011, pursuant to rule 92 of the Committee’s </w:t>
      </w:r>
      <w:r w:rsidRPr="000D3758">
        <w:t>rules</w:t>
      </w:r>
      <w:r w:rsidRPr="006111FD">
        <w:t xml:space="preserve"> of procedure, the Committee, acting through its Special Rapporteur on new communications and interim measures, requested the State party to refrain from </w:t>
      </w:r>
      <w:r w:rsidR="0011353C">
        <w:rPr>
          <w:lang w:val="en-US"/>
        </w:rPr>
        <w:t>removing</w:t>
      </w:r>
      <w:r w:rsidR="0011353C" w:rsidRPr="006111FD">
        <w:t xml:space="preserve"> </w:t>
      </w:r>
      <w:r w:rsidRPr="006111FD">
        <w:t>the author to Zimbabwe while the communication was under consideration by the Committee</w:t>
      </w:r>
      <w:r w:rsidRPr="00DC3547">
        <w:t xml:space="preserve">. </w:t>
      </w:r>
      <w:r w:rsidR="00DC3547" w:rsidRPr="00DC3547">
        <w:t>On 16 May 2011, the State party informed the Committee that</w:t>
      </w:r>
      <w:r w:rsidR="00B621AE">
        <w:rPr>
          <w:lang w:val="en-US"/>
        </w:rPr>
        <w:t>,</w:t>
      </w:r>
      <w:r w:rsidR="00DC3547" w:rsidRPr="00DC3547">
        <w:t xml:space="preserve"> </w:t>
      </w:r>
      <w:r w:rsidR="00B621AE" w:rsidRPr="00DC3547">
        <w:t xml:space="preserve">in accordance </w:t>
      </w:r>
      <w:r w:rsidR="00E958AB">
        <w:rPr>
          <w:lang w:val="en-US"/>
        </w:rPr>
        <w:t>with</w:t>
      </w:r>
      <w:r w:rsidR="00B621AE" w:rsidRPr="00DC3547">
        <w:t xml:space="preserve"> the Committee’s request</w:t>
      </w:r>
      <w:r w:rsidR="00B621AE">
        <w:rPr>
          <w:lang w:val="en-US"/>
        </w:rPr>
        <w:t>,</w:t>
      </w:r>
      <w:r w:rsidR="00B621AE" w:rsidRPr="00DC3547">
        <w:t xml:space="preserve"> </w:t>
      </w:r>
      <w:r w:rsidR="00DC3547" w:rsidRPr="00DC3547">
        <w:t>the author would not be removed</w:t>
      </w:r>
      <w:r w:rsidRPr="00DC3547">
        <w:t>.</w:t>
      </w:r>
      <w:r>
        <w:t xml:space="preserve"> </w:t>
      </w:r>
    </w:p>
    <w:p w:rsidR="001F493D" w:rsidRPr="003832DC" w:rsidRDefault="00672CFD" w:rsidP="00C213F2">
      <w:pPr>
        <w:pStyle w:val="SingleTxtG"/>
      </w:pPr>
      <w:r>
        <w:t>1.3</w:t>
      </w:r>
      <w:r w:rsidR="00940037">
        <w:tab/>
        <w:t xml:space="preserve">On 19 August 2011, the Committee, </w:t>
      </w:r>
      <w:r w:rsidR="00940037" w:rsidRPr="006111FD">
        <w:t>acting through its Special Rapporteur on new commun</w:t>
      </w:r>
      <w:r w:rsidR="00940037">
        <w:t xml:space="preserve">ications and interim measures, decided to grant the State party’s request to lift interim measures. </w:t>
      </w:r>
      <w:r w:rsidR="00E52C8A">
        <w:t xml:space="preserve">On 19 October 2011, the author’s counsel informed the Committee that </w:t>
      </w:r>
      <w:r w:rsidR="00E75D2F">
        <w:t>t</w:t>
      </w:r>
      <w:r w:rsidR="00E52C8A">
        <w:t xml:space="preserve">he </w:t>
      </w:r>
      <w:r w:rsidR="00E75D2F">
        <w:t xml:space="preserve">author </w:t>
      </w:r>
      <w:r w:rsidR="00E52C8A">
        <w:t>had been removed from the State party.</w:t>
      </w:r>
    </w:p>
    <w:p w:rsidR="001F493D" w:rsidRPr="003832DC" w:rsidRDefault="001F493D" w:rsidP="008F7CC9">
      <w:pPr>
        <w:pStyle w:val="H23G"/>
      </w:pPr>
      <w:r w:rsidRPr="003832DC">
        <w:tab/>
      </w:r>
      <w:r w:rsidRPr="003832DC">
        <w:tab/>
      </w:r>
      <w:r w:rsidRPr="0059492B">
        <w:t xml:space="preserve">Factual </w:t>
      </w:r>
      <w:r w:rsidRPr="008F7CC9">
        <w:t>background</w:t>
      </w:r>
    </w:p>
    <w:p w:rsidR="001F493D" w:rsidRDefault="00672CFD" w:rsidP="00C213F2">
      <w:pPr>
        <w:pStyle w:val="SingleTxtG"/>
      </w:pPr>
      <w:r>
        <w:t>2.1</w:t>
      </w:r>
      <w:r w:rsidR="001F493D" w:rsidRPr="00CD0F7B">
        <w:tab/>
      </w:r>
      <w:r w:rsidR="001F493D">
        <w:t xml:space="preserve">On 15 September 1990, the author married L.S., also </w:t>
      </w:r>
      <w:r w:rsidR="0011353C">
        <w:rPr>
          <w:lang w:val="en-US"/>
        </w:rPr>
        <w:t xml:space="preserve">a national of </w:t>
      </w:r>
      <w:r w:rsidR="001F493D">
        <w:t xml:space="preserve">Zimbabwe. They have </w:t>
      </w:r>
      <w:r w:rsidR="0011353C">
        <w:rPr>
          <w:lang w:val="en-US"/>
        </w:rPr>
        <w:t>seven</w:t>
      </w:r>
      <w:r w:rsidR="001F493D">
        <w:t xml:space="preserve"> children. Two children</w:t>
      </w:r>
      <w:r w:rsidR="006E5BD2">
        <w:rPr>
          <w:lang w:val="en-US"/>
        </w:rPr>
        <w:t>,</w:t>
      </w:r>
      <w:r w:rsidR="001F493D">
        <w:t xml:space="preserve"> born in Zimbabwe in 1991 and 1997, are </w:t>
      </w:r>
      <w:r w:rsidR="00F01C9A">
        <w:rPr>
          <w:lang w:val="en-US"/>
        </w:rPr>
        <w:t xml:space="preserve">also nationals of </w:t>
      </w:r>
      <w:r w:rsidR="001F493D">
        <w:t xml:space="preserve">Zimbabwe; one child was born in the United States </w:t>
      </w:r>
      <w:r w:rsidR="00F01C9A">
        <w:rPr>
          <w:lang w:val="en-US"/>
        </w:rPr>
        <w:t xml:space="preserve">of America </w:t>
      </w:r>
      <w:r w:rsidR="001F493D">
        <w:t xml:space="preserve">on 22 December 1998 and is </w:t>
      </w:r>
      <w:r w:rsidR="00F01C9A">
        <w:rPr>
          <w:lang w:val="en-US"/>
        </w:rPr>
        <w:t>a</w:t>
      </w:r>
      <w:r w:rsidR="00F01C9A">
        <w:t xml:space="preserve"> </w:t>
      </w:r>
      <w:r w:rsidR="001F493D">
        <w:t>national</w:t>
      </w:r>
      <w:r w:rsidR="00F01C9A">
        <w:rPr>
          <w:lang w:val="en-US"/>
        </w:rPr>
        <w:t xml:space="preserve"> of that country</w:t>
      </w:r>
      <w:r w:rsidR="001F493D">
        <w:t xml:space="preserve"> and the other </w:t>
      </w:r>
      <w:r w:rsidR="00F01C9A">
        <w:rPr>
          <w:lang w:val="en-US"/>
        </w:rPr>
        <w:t>four</w:t>
      </w:r>
      <w:r w:rsidR="001F493D">
        <w:t xml:space="preserve"> children were born in Canada in May 2002, April 2003, February 2006 and August 2007, respectively, and are </w:t>
      </w:r>
      <w:r w:rsidR="00F01C9A">
        <w:rPr>
          <w:lang w:val="en-US"/>
        </w:rPr>
        <w:t xml:space="preserve">nationals of </w:t>
      </w:r>
      <w:r w:rsidR="001F493D">
        <w:t xml:space="preserve">Canada. </w:t>
      </w:r>
      <w:r w:rsidR="002443D3">
        <w:t>In addition, the author ha</w:t>
      </w:r>
      <w:r w:rsidR="005F0771">
        <w:t>s</w:t>
      </w:r>
      <w:r w:rsidR="002443D3">
        <w:t xml:space="preserve"> a child with B.N., in the United State</w:t>
      </w:r>
      <w:r w:rsidR="0059492B">
        <w:t>s</w:t>
      </w:r>
      <w:r w:rsidR="002443D3">
        <w:t>, who was born on 14 May 2001</w:t>
      </w:r>
      <w:r w:rsidR="00F01C9A">
        <w:rPr>
          <w:lang w:val="en-US"/>
        </w:rPr>
        <w:t>,</w:t>
      </w:r>
      <w:r w:rsidR="005F0771">
        <w:t xml:space="preserve"> </w:t>
      </w:r>
      <w:r w:rsidR="005F0771" w:rsidRPr="004D7CAF">
        <w:t xml:space="preserve">and another child with </w:t>
      </w:r>
      <w:r w:rsidR="00742691" w:rsidRPr="004D7CAF">
        <w:t>A.M.,</w:t>
      </w:r>
      <w:r w:rsidR="00742691">
        <w:t xml:space="preserve"> in Canada, who was born in November 2002</w:t>
      </w:r>
      <w:r w:rsidR="002443D3">
        <w:t>.</w:t>
      </w:r>
      <w:r w:rsidR="001B547B">
        <w:t xml:space="preserve"> In total</w:t>
      </w:r>
      <w:r w:rsidR="00F01C9A">
        <w:rPr>
          <w:lang w:val="en-US"/>
        </w:rPr>
        <w:t>,</w:t>
      </w:r>
      <w:r w:rsidR="001B547B">
        <w:t xml:space="preserve"> the author has </w:t>
      </w:r>
      <w:r w:rsidR="00F01C9A">
        <w:rPr>
          <w:lang w:val="en-US"/>
        </w:rPr>
        <w:t>three</w:t>
      </w:r>
      <w:r w:rsidR="001B547B">
        <w:t xml:space="preserve"> children from extramarital relationships with two women.</w:t>
      </w:r>
      <w:r>
        <w:t xml:space="preserve"> </w:t>
      </w:r>
    </w:p>
    <w:p w:rsidR="00CD5C2E" w:rsidRDefault="00672CFD" w:rsidP="00672CFD">
      <w:pPr>
        <w:pStyle w:val="SingleTxtG"/>
      </w:pPr>
      <w:r>
        <w:t>2.2</w:t>
      </w:r>
      <w:r w:rsidR="001F493D">
        <w:tab/>
      </w:r>
      <w:r w:rsidR="00743786">
        <w:t>On 20 April 1998, t</w:t>
      </w:r>
      <w:r w:rsidR="001F493D">
        <w:t xml:space="preserve">he author left Zimbabwe, together with his wife and children. They went to the United States </w:t>
      </w:r>
      <w:r w:rsidR="006E5BD2">
        <w:rPr>
          <w:lang w:val="en-US"/>
        </w:rPr>
        <w:t>where they</w:t>
      </w:r>
      <w:r w:rsidR="006E5BD2">
        <w:t xml:space="preserve"> </w:t>
      </w:r>
      <w:r w:rsidR="00743786">
        <w:t xml:space="preserve">lived for four years </w:t>
      </w:r>
      <w:r w:rsidR="006E5BD2">
        <w:rPr>
          <w:lang w:val="en-US"/>
        </w:rPr>
        <w:t>as legal immigrants</w:t>
      </w:r>
      <w:r w:rsidR="00743786">
        <w:t xml:space="preserve">. </w:t>
      </w:r>
      <w:r w:rsidR="00444461">
        <w:t>The author completed his pastoral studies</w:t>
      </w:r>
      <w:r w:rsidR="00F01C9A">
        <w:rPr>
          <w:lang w:val="en-US"/>
        </w:rPr>
        <w:t>,</w:t>
      </w:r>
      <w:r w:rsidR="00444461">
        <w:t xml:space="preserve"> which </w:t>
      </w:r>
      <w:r w:rsidR="00F01C9A">
        <w:rPr>
          <w:lang w:val="en-US"/>
        </w:rPr>
        <w:t>allowed</w:t>
      </w:r>
      <w:r w:rsidR="00F01C9A">
        <w:t xml:space="preserve"> </w:t>
      </w:r>
      <w:r w:rsidR="00444461">
        <w:t xml:space="preserve">him to become a </w:t>
      </w:r>
      <w:r w:rsidR="00F01C9A">
        <w:rPr>
          <w:lang w:val="en-US"/>
        </w:rPr>
        <w:t>m</w:t>
      </w:r>
      <w:r w:rsidR="00D01A33">
        <w:t xml:space="preserve">inister. He also studied </w:t>
      </w:r>
      <w:r w:rsidR="00F01C9A">
        <w:rPr>
          <w:lang w:val="en-US"/>
        </w:rPr>
        <w:t xml:space="preserve">for </w:t>
      </w:r>
      <w:r w:rsidR="00D01A33">
        <w:t>a</w:t>
      </w:r>
      <w:r w:rsidR="00444461">
        <w:t xml:space="preserve"> </w:t>
      </w:r>
      <w:r w:rsidR="00D86372">
        <w:rPr>
          <w:lang w:val="en-US"/>
        </w:rPr>
        <w:t>m</w:t>
      </w:r>
      <w:r w:rsidR="00F01C9A">
        <w:rPr>
          <w:lang w:val="en-US"/>
        </w:rPr>
        <w:t xml:space="preserve">asters </w:t>
      </w:r>
      <w:r w:rsidR="001B13ED">
        <w:rPr>
          <w:lang w:val="en-US"/>
        </w:rPr>
        <w:t xml:space="preserve">degree </w:t>
      </w:r>
      <w:r w:rsidR="00F01C9A">
        <w:rPr>
          <w:lang w:val="en-US"/>
        </w:rPr>
        <w:t>in business administration, with a specialty</w:t>
      </w:r>
      <w:r w:rsidR="00F01C9A">
        <w:t xml:space="preserve"> </w:t>
      </w:r>
      <w:r w:rsidR="00444461">
        <w:t xml:space="preserve">in </w:t>
      </w:r>
      <w:r w:rsidR="00F01C9A">
        <w:rPr>
          <w:lang w:val="en-US"/>
        </w:rPr>
        <w:t>b</w:t>
      </w:r>
      <w:r w:rsidR="00444461">
        <w:t>anking</w:t>
      </w:r>
      <w:r w:rsidR="00F01C9A">
        <w:rPr>
          <w:lang w:val="en-US"/>
        </w:rPr>
        <w:t xml:space="preserve"> and f</w:t>
      </w:r>
      <w:r w:rsidR="00444461">
        <w:t>inance</w:t>
      </w:r>
      <w:r w:rsidR="001B13ED">
        <w:rPr>
          <w:lang w:val="en-US"/>
        </w:rPr>
        <w:t>,</w:t>
      </w:r>
      <w:r w:rsidR="00444461">
        <w:t xml:space="preserve"> </w:t>
      </w:r>
      <w:r w:rsidR="00F01C9A">
        <w:rPr>
          <w:lang w:val="en-US"/>
        </w:rPr>
        <w:t>at</w:t>
      </w:r>
      <w:r w:rsidR="00F01C9A">
        <w:t xml:space="preserve"> </w:t>
      </w:r>
      <w:r w:rsidR="00444461">
        <w:t xml:space="preserve">a university </w:t>
      </w:r>
      <w:r w:rsidR="00F01C9A">
        <w:rPr>
          <w:lang w:val="en-US"/>
        </w:rPr>
        <w:t>in</w:t>
      </w:r>
      <w:r w:rsidR="00F01C9A">
        <w:t xml:space="preserve"> </w:t>
      </w:r>
      <w:r w:rsidR="00444461">
        <w:t>N</w:t>
      </w:r>
      <w:r w:rsidR="007208B8">
        <w:t>orth Carolina</w:t>
      </w:r>
      <w:r w:rsidR="00CD5C2E">
        <w:t xml:space="preserve">. </w:t>
      </w:r>
      <w:r w:rsidR="007208B8">
        <w:t xml:space="preserve">On 18 January 2001, the author was convicted by a court </w:t>
      </w:r>
      <w:r w:rsidR="00F01C9A">
        <w:rPr>
          <w:lang w:val="en-US"/>
        </w:rPr>
        <w:t xml:space="preserve">in North Carolina </w:t>
      </w:r>
      <w:r w:rsidR="007208B8">
        <w:t>of attempt</w:t>
      </w:r>
      <w:r w:rsidR="00F01C9A">
        <w:rPr>
          <w:lang w:val="en-US"/>
        </w:rPr>
        <w:t>ing</w:t>
      </w:r>
      <w:r w:rsidR="007208B8">
        <w:t xml:space="preserve"> to obtain property by false preten</w:t>
      </w:r>
      <w:r w:rsidR="001B13ED">
        <w:rPr>
          <w:lang w:val="en-US"/>
        </w:rPr>
        <w:t>c</w:t>
      </w:r>
      <w:r w:rsidR="007208B8">
        <w:t>e</w:t>
      </w:r>
      <w:r w:rsidR="00F01C9A">
        <w:rPr>
          <w:lang w:val="en-US"/>
        </w:rPr>
        <w:t>s</w:t>
      </w:r>
      <w:r w:rsidR="007208B8">
        <w:t>.</w:t>
      </w:r>
      <w:r w:rsidR="00E62E4E">
        <w:t xml:space="preserve"> His prison sentence for that offence was suspended on condition that he leave the United States and pay restitution in the amount of </w:t>
      </w:r>
      <w:r w:rsidR="00E62E4E" w:rsidRPr="00F01C9A">
        <w:t>$900</w:t>
      </w:r>
      <w:r w:rsidR="00E62E4E">
        <w:t>. The author claim</w:t>
      </w:r>
      <w:r w:rsidR="00F01C9A">
        <w:rPr>
          <w:lang w:val="en-US"/>
        </w:rPr>
        <w:t>s</w:t>
      </w:r>
      <w:r w:rsidR="00E62E4E">
        <w:t xml:space="preserve"> that he paid </w:t>
      </w:r>
      <w:r w:rsidR="00F01C9A">
        <w:rPr>
          <w:lang w:val="en-US"/>
        </w:rPr>
        <w:t>that amount</w:t>
      </w:r>
      <w:r w:rsidR="00E62E4E">
        <w:t>.</w:t>
      </w:r>
    </w:p>
    <w:p w:rsidR="00671BCD" w:rsidRPr="009B3268" w:rsidRDefault="00672CFD" w:rsidP="00C213F2">
      <w:pPr>
        <w:pStyle w:val="SingleTxtG"/>
        <w:rPr>
          <w:lang w:val="en-US"/>
        </w:rPr>
      </w:pPr>
      <w:r>
        <w:t>2.3</w:t>
      </w:r>
      <w:r w:rsidR="00CD5C2E">
        <w:tab/>
      </w:r>
      <w:r w:rsidR="00743786">
        <w:t>On 29 July 2001, the author</w:t>
      </w:r>
      <w:r w:rsidR="008B5066">
        <w:t xml:space="preserve">, together with his wife and </w:t>
      </w:r>
      <w:r w:rsidR="00F01C9A">
        <w:rPr>
          <w:lang w:val="en-US"/>
        </w:rPr>
        <w:t>three</w:t>
      </w:r>
      <w:r w:rsidR="009D2FF3" w:rsidRPr="00EF7D62">
        <w:rPr>
          <w:lang w:val="en-GB"/>
        </w:rPr>
        <w:t xml:space="preserve"> </w:t>
      </w:r>
      <w:r w:rsidR="008B5066">
        <w:t>children,</w:t>
      </w:r>
      <w:r w:rsidR="00743786">
        <w:t xml:space="preserve"> arrived in Canada. </w:t>
      </w:r>
      <w:r w:rsidR="002443D3">
        <w:t xml:space="preserve">The author claims that B.N and their child also moved to Canada at the same time. </w:t>
      </w:r>
      <w:r w:rsidR="00743786">
        <w:t>The</w:t>
      </w:r>
      <w:r w:rsidR="005F0771">
        <w:t>y were permitted to enter the country</w:t>
      </w:r>
      <w:r w:rsidR="00743786">
        <w:t xml:space="preserve"> as visitors for a period of six months.</w:t>
      </w:r>
      <w:r w:rsidR="001F493D">
        <w:t xml:space="preserve"> </w:t>
      </w:r>
      <w:r w:rsidR="00743786">
        <w:t>On 2</w:t>
      </w:r>
      <w:r w:rsidR="00671BCD">
        <w:t>6 September 2001</w:t>
      </w:r>
      <w:r w:rsidR="001F493D">
        <w:t xml:space="preserve">, they </w:t>
      </w:r>
      <w:r w:rsidR="00F01C9A">
        <w:rPr>
          <w:lang w:val="en-US"/>
        </w:rPr>
        <w:t>filed</w:t>
      </w:r>
      <w:r w:rsidR="00F01C9A">
        <w:t xml:space="preserve"> </w:t>
      </w:r>
      <w:r w:rsidR="00016E5A">
        <w:t xml:space="preserve">a claim for refugee protection </w:t>
      </w:r>
      <w:r w:rsidR="00F01C9A">
        <w:rPr>
          <w:lang w:val="en-US"/>
        </w:rPr>
        <w:t>with</w:t>
      </w:r>
      <w:r w:rsidR="00F01C9A">
        <w:t xml:space="preserve"> </w:t>
      </w:r>
      <w:r w:rsidR="00671BCD">
        <w:t>th</w:t>
      </w:r>
      <w:r w:rsidR="00671BCD" w:rsidRPr="001B547B">
        <w:t xml:space="preserve">e </w:t>
      </w:r>
      <w:r w:rsidR="001F493D" w:rsidRPr="001B547B">
        <w:t>Immigration and Refugee Board</w:t>
      </w:r>
      <w:r w:rsidR="00F01C9A">
        <w:rPr>
          <w:lang w:val="en-US"/>
        </w:rPr>
        <w:t>,</w:t>
      </w:r>
      <w:r w:rsidR="00671BCD" w:rsidRPr="001B547B">
        <w:t xml:space="preserve"> </w:t>
      </w:r>
      <w:r w:rsidR="00F01C9A">
        <w:rPr>
          <w:lang w:val="en-US"/>
        </w:rPr>
        <w:t>claiming</w:t>
      </w:r>
      <w:r w:rsidR="00671BCD" w:rsidRPr="001B547B">
        <w:t xml:space="preserve"> that </w:t>
      </w:r>
      <w:r w:rsidR="006E5BD2">
        <w:rPr>
          <w:lang w:val="en-US"/>
        </w:rPr>
        <w:t>the author</w:t>
      </w:r>
      <w:r w:rsidR="006E5BD2" w:rsidRPr="001B547B">
        <w:t xml:space="preserve"> </w:t>
      </w:r>
      <w:r w:rsidR="00671BCD" w:rsidRPr="001B547B">
        <w:t>would be at risk</w:t>
      </w:r>
      <w:r w:rsidR="00671BCD">
        <w:t xml:space="preserve"> of persecution </w:t>
      </w:r>
      <w:r w:rsidR="006E5BD2">
        <w:t xml:space="preserve">in Zimbabwe </w:t>
      </w:r>
      <w:r w:rsidR="00671BCD">
        <w:t xml:space="preserve">by members of the War Veterans Association and by the </w:t>
      </w:r>
      <w:r w:rsidR="00EC164A">
        <w:rPr>
          <w:bCs/>
        </w:rPr>
        <w:t xml:space="preserve">Zimbabwe African National Union Patriotic Front </w:t>
      </w:r>
      <w:r w:rsidR="00F01C9A">
        <w:rPr>
          <w:bCs/>
        </w:rPr>
        <w:t>party</w:t>
      </w:r>
      <w:r w:rsidR="00671BCD">
        <w:t>, which was then in power. In addition, he claim</w:t>
      </w:r>
      <w:r w:rsidR="00F01C9A">
        <w:rPr>
          <w:lang w:val="en-US"/>
        </w:rPr>
        <w:t>s</w:t>
      </w:r>
      <w:r w:rsidR="00671BCD">
        <w:t xml:space="preserve"> that once in Canada</w:t>
      </w:r>
      <w:r w:rsidR="00F01C9A">
        <w:rPr>
          <w:lang w:val="en-US"/>
        </w:rPr>
        <w:t>,</w:t>
      </w:r>
      <w:r w:rsidR="00671BCD">
        <w:t xml:space="preserve"> he </w:t>
      </w:r>
      <w:r w:rsidR="00F01C9A">
        <w:rPr>
          <w:lang w:val="en-US"/>
        </w:rPr>
        <w:t>and other</w:t>
      </w:r>
      <w:r w:rsidR="00671BCD">
        <w:t xml:space="preserve"> persons created </w:t>
      </w:r>
      <w:r w:rsidR="00F01C9A">
        <w:rPr>
          <w:lang w:val="en-US"/>
        </w:rPr>
        <w:t>a</w:t>
      </w:r>
      <w:r w:rsidR="00F01C9A">
        <w:t xml:space="preserve"> </w:t>
      </w:r>
      <w:r w:rsidR="00671BCD">
        <w:t>branch of the Movement for Democratic Change</w:t>
      </w:r>
      <w:r w:rsidR="00241613">
        <w:t xml:space="preserve">, which </w:t>
      </w:r>
      <w:r w:rsidR="00F01C9A">
        <w:rPr>
          <w:lang w:val="en-US"/>
        </w:rPr>
        <w:t>opposed</w:t>
      </w:r>
      <w:r w:rsidR="00241613">
        <w:t xml:space="preserve"> the </w:t>
      </w:r>
      <w:r w:rsidR="00F01C9A">
        <w:rPr>
          <w:lang w:val="en-US"/>
        </w:rPr>
        <w:t>G</w:t>
      </w:r>
      <w:r w:rsidR="00241613">
        <w:t>overnment</w:t>
      </w:r>
      <w:r w:rsidR="00F01C9A">
        <w:rPr>
          <w:lang w:val="en-US"/>
        </w:rPr>
        <w:t xml:space="preserve"> of </w:t>
      </w:r>
      <w:r w:rsidR="00F01C9A">
        <w:t>Zimbabwe</w:t>
      </w:r>
      <w:r>
        <w:t>.</w:t>
      </w:r>
    </w:p>
    <w:p w:rsidR="001C13D0" w:rsidRPr="001C13D0" w:rsidRDefault="001C13D0" w:rsidP="00C213F2">
      <w:pPr>
        <w:pStyle w:val="SingleTxtG"/>
        <w:rPr>
          <w:lang w:val="en-GB"/>
        </w:rPr>
      </w:pPr>
      <w:r w:rsidRPr="001C13D0">
        <w:rPr>
          <w:lang w:val="en-GB"/>
        </w:rPr>
        <w:t>2.</w:t>
      </w:r>
      <w:r w:rsidR="00672CFD">
        <w:rPr>
          <w:lang w:val="en-GB"/>
        </w:rPr>
        <w:t>4</w:t>
      </w:r>
      <w:r>
        <w:rPr>
          <w:lang w:val="en-GB"/>
        </w:rPr>
        <w:tab/>
      </w:r>
      <w:r w:rsidR="00F01C9A">
        <w:rPr>
          <w:lang w:val="en-GB"/>
        </w:rPr>
        <w:t>When</w:t>
      </w:r>
      <w:r w:rsidR="00F01C9A">
        <w:t xml:space="preserve"> </w:t>
      </w:r>
      <w:r w:rsidR="00241613" w:rsidRPr="001C13D0">
        <w:rPr>
          <w:lang w:val="en-GB"/>
        </w:rPr>
        <w:t>th</w:t>
      </w:r>
      <w:r w:rsidR="00241613">
        <w:rPr>
          <w:lang w:val="en-GB"/>
        </w:rPr>
        <w:t xml:space="preserve">e </w:t>
      </w:r>
      <w:r w:rsidR="00F01C9A">
        <w:rPr>
          <w:lang w:val="en-GB"/>
        </w:rPr>
        <w:t xml:space="preserve">authorities of the </w:t>
      </w:r>
      <w:r w:rsidR="00241613">
        <w:rPr>
          <w:lang w:val="en-GB"/>
        </w:rPr>
        <w:t>State party</w:t>
      </w:r>
      <w:r w:rsidR="00241613">
        <w:t xml:space="preserve"> learned of </w:t>
      </w:r>
      <w:r w:rsidR="00241613" w:rsidRPr="001C13D0">
        <w:rPr>
          <w:lang w:val="en-GB"/>
        </w:rPr>
        <w:t>th</w:t>
      </w:r>
      <w:r w:rsidR="00241613">
        <w:rPr>
          <w:lang w:val="en-GB"/>
        </w:rPr>
        <w:t xml:space="preserve">e author’s </w:t>
      </w:r>
      <w:r w:rsidR="00241613" w:rsidRPr="002751C5">
        <w:t>conviction in the United States</w:t>
      </w:r>
      <w:r w:rsidR="00241613" w:rsidRPr="00241613">
        <w:rPr>
          <w:lang w:val="en-GB"/>
        </w:rPr>
        <w:t>,</w:t>
      </w:r>
      <w:r w:rsidR="00241613">
        <w:t xml:space="preserve"> </w:t>
      </w:r>
      <w:r w:rsidR="006C6BBB">
        <w:rPr>
          <w:lang w:val="en-GB"/>
        </w:rPr>
        <w:t>t</w:t>
      </w:r>
      <w:r w:rsidRPr="002751C5">
        <w:t>he Immigration Division</w:t>
      </w:r>
      <w:r w:rsidR="006C6BBB" w:rsidRPr="006C6BBB">
        <w:rPr>
          <w:lang w:val="en-GB"/>
        </w:rPr>
        <w:t xml:space="preserve"> of the </w:t>
      </w:r>
      <w:r w:rsidR="00F01C9A">
        <w:rPr>
          <w:lang w:val="en-GB"/>
        </w:rPr>
        <w:t>Immigration and Refugee Board</w:t>
      </w:r>
      <w:r w:rsidR="00F01C9A" w:rsidRPr="002751C5">
        <w:t xml:space="preserve"> </w:t>
      </w:r>
      <w:r w:rsidRPr="002751C5">
        <w:t xml:space="preserve">determined </w:t>
      </w:r>
      <w:r w:rsidR="00F01C9A">
        <w:rPr>
          <w:lang w:val="en-US"/>
        </w:rPr>
        <w:t xml:space="preserve">that </w:t>
      </w:r>
      <w:r w:rsidRPr="001C13D0">
        <w:rPr>
          <w:lang w:val="en-GB"/>
        </w:rPr>
        <w:t>the author</w:t>
      </w:r>
      <w:r w:rsidRPr="002751C5">
        <w:t xml:space="preserve"> </w:t>
      </w:r>
      <w:r w:rsidR="00F01C9A">
        <w:rPr>
          <w:lang w:val="en-US"/>
        </w:rPr>
        <w:t>was</w:t>
      </w:r>
      <w:r w:rsidR="00F01C9A" w:rsidRPr="002751C5">
        <w:t xml:space="preserve"> </w:t>
      </w:r>
      <w:r w:rsidR="00F01C9A">
        <w:rPr>
          <w:lang w:val="en-US"/>
        </w:rPr>
        <w:t>not</w:t>
      </w:r>
      <w:r w:rsidR="00F01C9A" w:rsidRPr="002751C5">
        <w:t xml:space="preserve"> </w:t>
      </w:r>
      <w:r w:rsidRPr="002751C5">
        <w:t xml:space="preserve">admissible </w:t>
      </w:r>
      <w:r w:rsidR="00F01C9A">
        <w:rPr>
          <w:lang w:val="en-US"/>
        </w:rPr>
        <w:t>in</w:t>
      </w:r>
      <w:r w:rsidR="00F01C9A" w:rsidRPr="002751C5">
        <w:t xml:space="preserve"> </w:t>
      </w:r>
      <w:r w:rsidRPr="002751C5">
        <w:t xml:space="preserve">Canada on </w:t>
      </w:r>
      <w:r w:rsidR="00F01C9A">
        <w:rPr>
          <w:lang w:val="en-US"/>
        </w:rPr>
        <w:t xml:space="preserve">the </w:t>
      </w:r>
      <w:r w:rsidRPr="002751C5">
        <w:t>grounds of criminality</w:t>
      </w:r>
      <w:r w:rsidR="00F01C9A">
        <w:rPr>
          <w:lang w:val="en-US"/>
        </w:rPr>
        <w:t>,</w:t>
      </w:r>
      <w:r w:rsidRPr="002751C5">
        <w:t xml:space="preserve"> pursuant to </w:t>
      </w:r>
      <w:r w:rsidRPr="002751C5">
        <w:lastRenderedPageBreak/>
        <w:t>section 36</w:t>
      </w:r>
      <w:r w:rsidR="00F01C9A">
        <w:rPr>
          <w:lang w:val="en-US"/>
        </w:rPr>
        <w:t xml:space="preserve"> </w:t>
      </w:r>
      <w:r w:rsidRPr="002751C5">
        <w:t>(2)</w:t>
      </w:r>
      <w:r w:rsidR="00121DFA" w:rsidRPr="00EF7D62">
        <w:rPr>
          <w:lang w:val="en-GB"/>
        </w:rPr>
        <w:t xml:space="preserve"> </w:t>
      </w:r>
      <w:r w:rsidRPr="002751C5">
        <w:t xml:space="preserve">(b) of the </w:t>
      </w:r>
      <w:r w:rsidRPr="001C13D0">
        <w:t>Immigration and Refugee Protection Act</w:t>
      </w:r>
      <w:r w:rsidRPr="002751C5">
        <w:t xml:space="preserve">. At the conclusion of </w:t>
      </w:r>
      <w:r w:rsidR="00F01C9A">
        <w:rPr>
          <w:lang w:val="en-US"/>
        </w:rPr>
        <w:t>a</w:t>
      </w:r>
      <w:r w:rsidR="00F01C9A" w:rsidRPr="002751C5">
        <w:t xml:space="preserve"> </w:t>
      </w:r>
      <w:r w:rsidRPr="002751C5">
        <w:t xml:space="preserve">hearing </w:t>
      </w:r>
      <w:r w:rsidR="00F01C9A">
        <w:rPr>
          <w:lang w:val="en-US"/>
        </w:rPr>
        <w:t xml:space="preserve">held </w:t>
      </w:r>
      <w:r w:rsidRPr="002751C5">
        <w:t>on</w:t>
      </w:r>
      <w:r w:rsidR="00241613">
        <w:t xml:space="preserve"> 19 December 2002, a </w:t>
      </w:r>
      <w:r w:rsidR="00241613" w:rsidRPr="00241613">
        <w:rPr>
          <w:lang w:val="en-GB"/>
        </w:rPr>
        <w:t>d</w:t>
      </w:r>
      <w:r w:rsidR="00241613">
        <w:t xml:space="preserve">eportation </w:t>
      </w:r>
      <w:r w:rsidR="00241613" w:rsidRPr="00241613">
        <w:rPr>
          <w:lang w:val="en-GB"/>
        </w:rPr>
        <w:t>o</w:t>
      </w:r>
      <w:r w:rsidRPr="002751C5">
        <w:t xml:space="preserve">rder was issued against </w:t>
      </w:r>
      <w:r w:rsidRPr="001C13D0">
        <w:rPr>
          <w:lang w:val="en-GB"/>
        </w:rPr>
        <w:t>him.</w:t>
      </w:r>
    </w:p>
    <w:p w:rsidR="00241613" w:rsidRPr="009B3268" w:rsidRDefault="00672CFD" w:rsidP="00C213F2">
      <w:pPr>
        <w:pStyle w:val="SingleTxtG"/>
        <w:rPr>
          <w:lang w:val="en-US"/>
        </w:rPr>
      </w:pPr>
      <w:r>
        <w:t>2.5</w:t>
      </w:r>
      <w:r w:rsidR="00241613">
        <w:tab/>
      </w:r>
      <w:r w:rsidR="00603B29">
        <w:t>In 2002 and 2003</w:t>
      </w:r>
      <w:r w:rsidR="00F01C9A">
        <w:rPr>
          <w:lang w:val="en-US"/>
        </w:rPr>
        <w:t>,</w:t>
      </w:r>
      <w:r w:rsidR="00603B29">
        <w:t xml:space="preserve"> the author was charged with </w:t>
      </w:r>
      <w:r w:rsidR="006C6BBB">
        <w:t xml:space="preserve">12 counts of </w:t>
      </w:r>
      <w:r w:rsidR="00603B29">
        <w:t>assault against B.N.</w:t>
      </w:r>
      <w:r w:rsidR="00E819C2">
        <w:t xml:space="preserve"> and A.M.</w:t>
      </w:r>
      <w:r w:rsidR="00603B29">
        <w:t xml:space="preserve">, but the charges were </w:t>
      </w:r>
      <w:r w:rsidR="00F01C9A">
        <w:t xml:space="preserve">later </w:t>
      </w:r>
      <w:r w:rsidR="00603B29">
        <w:t xml:space="preserve">withdrawn. </w:t>
      </w:r>
      <w:r w:rsidR="006C6BBB">
        <w:t>In this context, o</w:t>
      </w:r>
      <w:r w:rsidR="00742691">
        <w:t xml:space="preserve">n 19 February 2004, </w:t>
      </w:r>
      <w:r w:rsidR="00B45A09">
        <w:rPr>
          <w:lang w:val="en-US"/>
        </w:rPr>
        <w:t xml:space="preserve">he was the subject of </w:t>
      </w:r>
      <w:r w:rsidR="00742691">
        <w:t>a peace bond</w:t>
      </w:r>
      <w:r w:rsidR="00B45A09">
        <w:rPr>
          <w:lang w:val="en-US"/>
        </w:rPr>
        <w:t>, which</w:t>
      </w:r>
      <w:r w:rsidR="00742691">
        <w:t xml:space="preserve"> requir</w:t>
      </w:r>
      <w:r w:rsidR="00B45A09">
        <w:rPr>
          <w:lang w:val="en-US"/>
        </w:rPr>
        <w:t>ed</w:t>
      </w:r>
      <w:r w:rsidR="00742691">
        <w:t xml:space="preserve"> that he ha</w:t>
      </w:r>
      <w:r w:rsidR="00F01C9A">
        <w:rPr>
          <w:lang w:val="en-US"/>
        </w:rPr>
        <w:t>ve</w:t>
      </w:r>
      <w:r w:rsidR="00742691">
        <w:t xml:space="preserve"> no contact with B</w:t>
      </w:r>
      <w:r w:rsidR="00241613">
        <w:t xml:space="preserve">.N. </w:t>
      </w:r>
      <w:r w:rsidR="00F01C9A">
        <w:rPr>
          <w:lang w:val="en-US"/>
        </w:rPr>
        <w:t>or</w:t>
      </w:r>
      <w:r w:rsidR="00F01C9A">
        <w:t xml:space="preserve"> </w:t>
      </w:r>
      <w:r w:rsidR="00241613">
        <w:t>A.M. for one year.</w:t>
      </w:r>
      <w:r w:rsidR="00F01C9A">
        <w:rPr>
          <w:lang w:val="en-US"/>
        </w:rPr>
        <w:t xml:space="preserve"> </w:t>
      </w:r>
    </w:p>
    <w:p w:rsidR="00D20B40" w:rsidRDefault="008F7CC9" w:rsidP="00C213F2">
      <w:pPr>
        <w:pStyle w:val="SingleTxtG"/>
      </w:pPr>
      <w:r>
        <w:t>2.6</w:t>
      </w:r>
      <w:r w:rsidR="00241613">
        <w:tab/>
      </w:r>
      <w:r w:rsidR="001F493D">
        <w:t xml:space="preserve">On </w:t>
      </w:r>
      <w:r w:rsidR="003C6D8C">
        <w:t>8</w:t>
      </w:r>
      <w:r w:rsidR="001F493D">
        <w:t xml:space="preserve"> December 2003, the </w:t>
      </w:r>
      <w:r w:rsidR="00B45A09">
        <w:rPr>
          <w:lang w:val="en-US"/>
        </w:rPr>
        <w:t>Immigration and Refugee Board</w:t>
      </w:r>
      <w:r w:rsidR="00B45A09">
        <w:t xml:space="preserve"> </w:t>
      </w:r>
      <w:r w:rsidR="001F493D">
        <w:t xml:space="preserve">rejected the author’s request for </w:t>
      </w:r>
      <w:r w:rsidR="00016E5A">
        <w:t>refugee protection</w:t>
      </w:r>
      <w:r w:rsidR="00F53325">
        <w:rPr>
          <w:lang w:val="en-US"/>
        </w:rPr>
        <w:t>, stating that the author</w:t>
      </w:r>
      <w:r w:rsidR="00B45A09">
        <w:rPr>
          <w:lang w:val="en-US"/>
        </w:rPr>
        <w:t xml:space="preserve"> had</w:t>
      </w:r>
      <w:r w:rsidR="003C6D8C">
        <w:t xml:space="preserve"> failed to provide any evidence concerning </w:t>
      </w:r>
      <w:r w:rsidR="00241613">
        <w:t>h</w:t>
      </w:r>
      <w:r w:rsidR="003C6D8C">
        <w:t>is allegations of persecution by the War</w:t>
      </w:r>
      <w:r w:rsidR="00241613">
        <w:t xml:space="preserve"> Veterans Association and that</w:t>
      </w:r>
      <w:r w:rsidR="003C6D8C">
        <w:t xml:space="preserve"> </w:t>
      </w:r>
      <w:r w:rsidR="00B45A09">
        <w:t>he</w:t>
      </w:r>
      <w:r w:rsidR="00B45A09">
        <w:rPr>
          <w:lang w:val="en-US"/>
        </w:rPr>
        <w:t xml:space="preserve"> had </w:t>
      </w:r>
      <w:r w:rsidR="003C6D8C">
        <w:t xml:space="preserve">failed to correct or explain </w:t>
      </w:r>
      <w:r w:rsidR="00241613">
        <w:t>the</w:t>
      </w:r>
      <w:r w:rsidR="003C6D8C">
        <w:t xml:space="preserve"> inconsistencies between his testimony at the hearing and </w:t>
      </w:r>
      <w:r w:rsidR="00B45A09">
        <w:rPr>
          <w:lang w:val="en-US"/>
        </w:rPr>
        <w:t>the</w:t>
      </w:r>
      <w:r w:rsidR="00B45A09">
        <w:t xml:space="preserve"> </w:t>
      </w:r>
      <w:r w:rsidR="003C6D8C">
        <w:t xml:space="preserve">allegations contained in his Personal Information Form, notably with respect to the timing of his refugee claim and allegations </w:t>
      </w:r>
      <w:r w:rsidR="00B45A09">
        <w:rPr>
          <w:lang w:val="en-US"/>
        </w:rPr>
        <w:t xml:space="preserve">concerning the persecution of </w:t>
      </w:r>
      <w:r w:rsidR="003C6D8C">
        <w:t>his family</w:t>
      </w:r>
      <w:r w:rsidR="00B45A09">
        <w:rPr>
          <w:lang w:val="en-US"/>
        </w:rPr>
        <w:t xml:space="preserve"> </w:t>
      </w:r>
      <w:r w:rsidR="003C6D8C">
        <w:t xml:space="preserve">in Zimbabwe. As to his affiliation </w:t>
      </w:r>
      <w:r w:rsidR="00B45A09">
        <w:rPr>
          <w:lang w:val="en-US"/>
        </w:rPr>
        <w:t>with</w:t>
      </w:r>
      <w:r w:rsidR="00B45A09">
        <w:t xml:space="preserve"> </w:t>
      </w:r>
      <w:r w:rsidR="003C6D8C">
        <w:t xml:space="preserve">the </w:t>
      </w:r>
      <w:r w:rsidR="00B45A09">
        <w:rPr>
          <w:lang w:val="en-US"/>
        </w:rPr>
        <w:t>Movement for Democratic Change</w:t>
      </w:r>
      <w:r w:rsidR="00B45A09">
        <w:t xml:space="preserve"> </w:t>
      </w:r>
      <w:r w:rsidR="003C6D8C">
        <w:t xml:space="preserve">in Canada, </w:t>
      </w:r>
      <w:r w:rsidR="00B45A09">
        <w:rPr>
          <w:lang w:val="en-US"/>
        </w:rPr>
        <w:t>the Board</w:t>
      </w:r>
      <w:r w:rsidR="00B45A09">
        <w:t xml:space="preserve"> </w:t>
      </w:r>
      <w:r w:rsidR="003C6D8C">
        <w:t xml:space="preserve">noted that he </w:t>
      </w:r>
      <w:r w:rsidR="00B45A09">
        <w:rPr>
          <w:lang w:val="en-US"/>
        </w:rPr>
        <w:t xml:space="preserve">had </w:t>
      </w:r>
      <w:r w:rsidR="003C6D8C">
        <w:t xml:space="preserve">joined the </w:t>
      </w:r>
      <w:r w:rsidR="00B45A09">
        <w:rPr>
          <w:lang w:val="en-US"/>
        </w:rPr>
        <w:t>Movement</w:t>
      </w:r>
      <w:r w:rsidR="00B45A09">
        <w:t xml:space="preserve"> </w:t>
      </w:r>
      <w:r w:rsidR="003C6D8C">
        <w:t>a few months after claiming refuge</w:t>
      </w:r>
      <w:r w:rsidR="00241613">
        <w:t xml:space="preserve">e protection and that he </w:t>
      </w:r>
      <w:r w:rsidR="00B45A09">
        <w:rPr>
          <w:lang w:val="en-US"/>
        </w:rPr>
        <w:t>had</w:t>
      </w:r>
      <w:r w:rsidR="00B45A09">
        <w:t xml:space="preserve"> </w:t>
      </w:r>
      <w:r w:rsidR="00241613">
        <w:t xml:space="preserve">not </w:t>
      </w:r>
      <w:r w:rsidR="00B45A09">
        <w:rPr>
          <w:lang w:val="en-US"/>
        </w:rPr>
        <w:t>offered</w:t>
      </w:r>
      <w:r w:rsidR="00B45A09">
        <w:t xml:space="preserve"> </w:t>
      </w:r>
      <w:r w:rsidR="003C6D8C">
        <w:t xml:space="preserve">evidence concerning his alleged activities as </w:t>
      </w:r>
      <w:r w:rsidR="00B45A09">
        <w:rPr>
          <w:lang w:val="en-US"/>
        </w:rPr>
        <w:t xml:space="preserve">a </w:t>
      </w:r>
      <w:r w:rsidR="003C6D8C">
        <w:t xml:space="preserve">fundraiser </w:t>
      </w:r>
      <w:r w:rsidR="00B45A09">
        <w:rPr>
          <w:lang w:val="en-US"/>
        </w:rPr>
        <w:t>for</w:t>
      </w:r>
      <w:r w:rsidR="00B45A09">
        <w:t xml:space="preserve"> </w:t>
      </w:r>
      <w:r w:rsidR="00B45A09">
        <w:rPr>
          <w:lang w:val="en-US"/>
        </w:rPr>
        <w:t>that</w:t>
      </w:r>
      <w:r w:rsidR="00B45A09">
        <w:t xml:space="preserve"> </w:t>
      </w:r>
      <w:r w:rsidR="006C6BBB">
        <w:t>organization</w:t>
      </w:r>
      <w:r w:rsidR="003C6D8C">
        <w:t>.</w:t>
      </w:r>
    </w:p>
    <w:p w:rsidR="00D20B40" w:rsidRPr="00EF7D62" w:rsidRDefault="008F7CC9" w:rsidP="00C213F2">
      <w:pPr>
        <w:pStyle w:val="SingleTxtG"/>
        <w:rPr>
          <w:lang w:val="en-GB"/>
        </w:rPr>
      </w:pPr>
      <w:r>
        <w:t>2.7</w:t>
      </w:r>
      <w:r w:rsidR="00241613">
        <w:tab/>
      </w:r>
      <w:r w:rsidR="00D20B40">
        <w:t xml:space="preserve">On 31 May </w:t>
      </w:r>
      <w:r w:rsidR="001F493D">
        <w:t xml:space="preserve">2004, the author filed an application for </w:t>
      </w:r>
      <w:r w:rsidR="00B45A09">
        <w:rPr>
          <w:lang w:val="en-US"/>
        </w:rPr>
        <w:t xml:space="preserve">a </w:t>
      </w:r>
      <w:r w:rsidR="00B45A09">
        <w:t xml:space="preserve">pre-removal risk assessment </w:t>
      </w:r>
      <w:r w:rsidR="00F7710A">
        <w:t xml:space="preserve">(PRRA) </w:t>
      </w:r>
      <w:r w:rsidR="00B45A09">
        <w:rPr>
          <w:lang w:val="en-US"/>
        </w:rPr>
        <w:t>with</w:t>
      </w:r>
      <w:r w:rsidR="00B45A09">
        <w:t xml:space="preserve"> </w:t>
      </w:r>
      <w:r w:rsidR="00F7710A">
        <w:t>Citizenship and Immigration Canada</w:t>
      </w:r>
      <w:r w:rsidR="00B45A09">
        <w:rPr>
          <w:lang w:val="en-US"/>
        </w:rPr>
        <w:t>, alleging essentially</w:t>
      </w:r>
      <w:r w:rsidR="00B45A09" w:rsidRPr="00B45A09">
        <w:t xml:space="preserve"> </w:t>
      </w:r>
      <w:r w:rsidR="00D20B40">
        <w:t xml:space="preserve">the same risks of persecution as </w:t>
      </w:r>
      <w:r w:rsidR="00B45A09">
        <w:rPr>
          <w:lang w:val="en-US"/>
        </w:rPr>
        <w:t xml:space="preserve">contained </w:t>
      </w:r>
      <w:r w:rsidR="00D20B40">
        <w:t>in his appl</w:t>
      </w:r>
      <w:r>
        <w:t>ication for refugee protection.</w:t>
      </w:r>
    </w:p>
    <w:p w:rsidR="00CD5C2E" w:rsidRPr="00EF7D62" w:rsidRDefault="008F7CC9" w:rsidP="00C213F2">
      <w:pPr>
        <w:pStyle w:val="SingleTxtG"/>
        <w:rPr>
          <w:lang w:val="en-GB"/>
        </w:rPr>
      </w:pPr>
      <w:r>
        <w:t>2.8</w:t>
      </w:r>
      <w:r w:rsidR="00241613">
        <w:tab/>
      </w:r>
      <w:r w:rsidR="00CD5C2E">
        <w:t>On 12 July 2004, the author ple</w:t>
      </w:r>
      <w:r w:rsidR="00B45A09">
        <w:rPr>
          <w:lang w:val="en-US"/>
        </w:rPr>
        <w:t>a</w:t>
      </w:r>
      <w:r w:rsidR="00CD5C2E">
        <w:t>d</w:t>
      </w:r>
      <w:r w:rsidR="00B45A09">
        <w:rPr>
          <w:lang w:val="en-US"/>
        </w:rPr>
        <w:t>ed</w:t>
      </w:r>
      <w:r w:rsidR="00CD5C2E">
        <w:t xml:space="preserve"> guilty </w:t>
      </w:r>
      <w:r w:rsidR="007208B8">
        <w:t xml:space="preserve">before a court </w:t>
      </w:r>
      <w:r w:rsidR="00B45A09">
        <w:rPr>
          <w:lang w:val="en-US"/>
        </w:rPr>
        <w:t xml:space="preserve">in Ontario </w:t>
      </w:r>
      <w:r w:rsidR="00CD5C2E">
        <w:t xml:space="preserve">to charges of fraud </w:t>
      </w:r>
      <w:r w:rsidR="00B45A09">
        <w:rPr>
          <w:lang w:val="en-US"/>
        </w:rPr>
        <w:t xml:space="preserve">in an amount </w:t>
      </w:r>
      <w:r w:rsidR="001B13ED">
        <w:rPr>
          <w:lang w:val="en-US"/>
        </w:rPr>
        <w:t>that exceeded</w:t>
      </w:r>
      <w:r w:rsidR="001B13ED">
        <w:t xml:space="preserve"> </w:t>
      </w:r>
      <w:r w:rsidR="00B45A09">
        <w:rPr>
          <w:lang w:val="en-US"/>
        </w:rPr>
        <w:t>Can</w:t>
      </w:r>
      <w:r w:rsidR="00CD5C2E" w:rsidRPr="00B45A09">
        <w:t>$</w:t>
      </w:r>
      <w:r w:rsidR="00B45A09">
        <w:rPr>
          <w:lang w:val="en-US"/>
        </w:rPr>
        <w:t xml:space="preserve"> </w:t>
      </w:r>
      <w:r w:rsidR="00CD5C2E" w:rsidRPr="00B45A09">
        <w:t>5</w:t>
      </w:r>
      <w:r w:rsidR="00B45A09">
        <w:rPr>
          <w:lang w:val="en-US"/>
        </w:rPr>
        <w:t>,</w:t>
      </w:r>
      <w:r w:rsidR="00CD5C2E" w:rsidRPr="00B45A09">
        <w:t>000</w:t>
      </w:r>
      <w:r w:rsidR="007208B8">
        <w:t xml:space="preserve"> and failure</w:t>
      </w:r>
      <w:r w:rsidR="00CD5C2E">
        <w:t xml:space="preserve"> to comply with </w:t>
      </w:r>
      <w:r w:rsidR="001B13ED">
        <w:rPr>
          <w:lang w:val="en-US"/>
        </w:rPr>
        <w:t xml:space="preserve">a condition of </w:t>
      </w:r>
      <w:r w:rsidR="00CD5C2E">
        <w:t>recogni</w:t>
      </w:r>
      <w:r w:rsidR="007208B8">
        <w:t xml:space="preserve">zance, </w:t>
      </w:r>
      <w:r w:rsidR="001B13ED">
        <w:rPr>
          <w:lang w:val="en-US"/>
        </w:rPr>
        <w:t>in violation of</w:t>
      </w:r>
      <w:r w:rsidR="00A833B9">
        <w:t xml:space="preserve"> section</w:t>
      </w:r>
      <w:r w:rsidR="00B45A09">
        <w:rPr>
          <w:lang w:val="en-US"/>
        </w:rPr>
        <w:t>s</w:t>
      </w:r>
      <w:r w:rsidR="00A833B9">
        <w:t xml:space="preserve"> 380</w:t>
      </w:r>
      <w:r w:rsidR="00B45A09">
        <w:rPr>
          <w:lang w:val="en-US"/>
        </w:rPr>
        <w:t xml:space="preserve"> </w:t>
      </w:r>
      <w:r w:rsidR="00A833B9">
        <w:t>(1) and 145</w:t>
      </w:r>
      <w:r w:rsidR="00B45A09">
        <w:rPr>
          <w:lang w:val="en-US"/>
        </w:rPr>
        <w:t xml:space="preserve"> </w:t>
      </w:r>
      <w:r w:rsidR="00A833B9">
        <w:t>(3)</w:t>
      </w:r>
      <w:r w:rsidR="007208B8">
        <w:t xml:space="preserve"> of the Criminal Code of Canada, </w:t>
      </w:r>
      <w:r w:rsidR="004F0528">
        <w:t xml:space="preserve">respectively. </w:t>
      </w:r>
      <w:r w:rsidR="00CD5C2E">
        <w:t xml:space="preserve">He was sentenced to </w:t>
      </w:r>
      <w:r w:rsidR="00B45A09">
        <w:rPr>
          <w:lang w:val="en-US"/>
        </w:rPr>
        <w:t>one</w:t>
      </w:r>
      <w:r w:rsidR="00CD5C2E">
        <w:t xml:space="preserve"> day</w:t>
      </w:r>
      <w:r w:rsidR="007208B8">
        <w:t xml:space="preserve"> in jail on each charge</w:t>
      </w:r>
      <w:r w:rsidR="00CD5C2E">
        <w:t xml:space="preserve"> (</w:t>
      </w:r>
      <w:r w:rsidR="007208B8">
        <w:t xml:space="preserve">to be served concurrently, in addition to the </w:t>
      </w:r>
      <w:r w:rsidR="00CD5C2E">
        <w:t>18 days</w:t>
      </w:r>
      <w:r w:rsidR="007208B8">
        <w:t xml:space="preserve"> of pretrial custody</w:t>
      </w:r>
      <w:r w:rsidR="006E5BD2">
        <w:rPr>
          <w:lang w:val="en-US"/>
        </w:rPr>
        <w:t xml:space="preserve"> he had served</w:t>
      </w:r>
      <w:r w:rsidR="007208B8">
        <w:t>) and restitution o</w:t>
      </w:r>
      <w:r>
        <w:t xml:space="preserve">f </w:t>
      </w:r>
      <w:r w:rsidR="00B45A09">
        <w:rPr>
          <w:lang w:val="en-US"/>
        </w:rPr>
        <w:t>Can</w:t>
      </w:r>
      <w:r>
        <w:t>$</w:t>
      </w:r>
      <w:r w:rsidR="00B45A09">
        <w:rPr>
          <w:lang w:val="en-US"/>
        </w:rPr>
        <w:t xml:space="preserve"> </w:t>
      </w:r>
      <w:r>
        <w:t>7</w:t>
      </w:r>
      <w:r w:rsidR="00B45A09">
        <w:rPr>
          <w:lang w:val="en-US"/>
        </w:rPr>
        <w:t>,</w:t>
      </w:r>
      <w:r>
        <w:t xml:space="preserve">340, which he </w:t>
      </w:r>
      <w:r w:rsidR="00B45A09">
        <w:rPr>
          <w:lang w:val="en-US"/>
        </w:rPr>
        <w:t>performed</w:t>
      </w:r>
      <w:r>
        <w:t>.</w:t>
      </w:r>
    </w:p>
    <w:p w:rsidR="001F493D" w:rsidRPr="00EF7D62" w:rsidRDefault="008F7CC9" w:rsidP="00C213F2">
      <w:pPr>
        <w:pStyle w:val="SingleTxtG"/>
        <w:rPr>
          <w:lang w:val="en-GB"/>
        </w:rPr>
      </w:pPr>
      <w:r>
        <w:t>2.9</w:t>
      </w:r>
      <w:r w:rsidR="00241613">
        <w:tab/>
      </w:r>
      <w:r w:rsidR="001F493D">
        <w:t xml:space="preserve">On 18 October 2004, </w:t>
      </w:r>
      <w:r w:rsidR="00540B05">
        <w:t xml:space="preserve">a negative </w:t>
      </w:r>
      <w:r w:rsidR="00780B75">
        <w:rPr>
          <w:lang w:val="en-US"/>
        </w:rPr>
        <w:t xml:space="preserve">decision on his </w:t>
      </w:r>
      <w:r w:rsidR="001F493D">
        <w:t xml:space="preserve">PRRA </w:t>
      </w:r>
      <w:r w:rsidR="00780B75">
        <w:rPr>
          <w:lang w:val="en-US"/>
        </w:rPr>
        <w:t>application</w:t>
      </w:r>
      <w:r w:rsidR="00780B75">
        <w:t xml:space="preserve"> </w:t>
      </w:r>
      <w:r w:rsidR="00540B05">
        <w:t xml:space="preserve">was </w:t>
      </w:r>
      <w:r w:rsidR="00B45A09">
        <w:rPr>
          <w:lang w:val="en-US"/>
        </w:rPr>
        <w:t>issued</w:t>
      </w:r>
      <w:r w:rsidR="00B45A09">
        <w:t xml:space="preserve"> </w:t>
      </w:r>
      <w:r w:rsidR="00B45A09">
        <w:rPr>
          <w:lang w:val="en-US"/>
        </w:rPr>
        <w:t>as</w:t>
      </w:r>
      <w:r w:rsidR="00B45A09">
        <w:t xml:space="preserve"> </w:t>
      </w:r>
      <w:r w:rsidR="001975A6">
        <w:t xml:space="preserve">the author </w:t>
      </w:r>
      <w:r w:rsidR="00B45A09">
        <w:rPr>
          <w:lang w:val="en-US"/>
        </w:rPr>
        <w:t xml:space="preserve">had </w:t>
      </w:r>
      <w:r w:rsidR="001975A6">
        <w:t>failed to establish</w:t>
      </w:r>
      <w:r w:rsidR="00EE3E91">
        <w:t xml:space="preserve"> that he would be at risk </w:t>
      </w:r>
      <w:r w:rsidR="00241613">
        <w:t xml:space="preserve">of persecution </w:t>
      </w:r>
      <w:r w:rsidR="00EE3E91">
        <w:t>upon his return to Zimbabwe</w:t>
      </w:r>
      <w:r w:rsidR="00540B05">
        <w:t xml:space="preserve">. </w:t>
      </w:r>
      <w:r w:rsidR="00FD21BC">
        <w:t>The PRRA officer found</w:t>
      </w:r>
      <w:r w:rsidR="001B13ED">
        <w:rPr>
          <w:lang w:val="en-US"/>
        </w:rPr>
        <w:t>,</w:t>
      </w:r>
      <w:r w:rsidR="00FD21BC">
        <w:t xml:space="preserve"> inter alia</w:t>
      </w:r>
      <w:r w:rsidR="001B13ED">
        <w:rPr>
          <w:lang w:val="en-US"/>
        </w:rPr>
        <w:t>,</w:t>
      </w:r>
      <w:r w:rsidR="00FD21BC">
        <w:t xml:space="preserve"> that the author’s statements and the evidence submitted by him in support of his case </w:t>
      </w:r>
      <w:r w:rsidR="001B13ED">
        <w:rPr>
          <w:lang w:val="en-US"/>
        </w:rPr>
        <w:t>had</w:t>
      </w:r>
      <w:r w:rsidR="001B13ED">
        <w:t xml:space="preserve"> </w:t>
      </w:r>
      <w:r w:rsidR="00FD21BC">
        <w:t xml:space="preserve">either </w:t>
      </w:r>
      <w:r w:rsidR="001B13ED">
        <w:rPr>
          <w:lang w:val="en-US"/>
        </w:rPr>
        <w:t xml:space="preserve">been </w:t>
      </w:r>
      <w:r w:rsidR="00FD21BC">
        <w:t xml:space="preserve">fabricated or </w:t>
      </w:r>
      <w:r w:rsidR="001B13ED">
        <w:rPr>
          <w:lang w:val="en-US"/>
        </w:rPr>
        <w:t xml:space="preserve">was </w:t>
      </w:r>
      <w:r w:rsidR="00FD21BC">
        <w:t>unreliable</w:t>
      </w:r>
      <w:r w:rsidR="00A30A02">
        <w:t xml:space="preserve">; that </w:t>
      </w:r>
      <w:r w:rsidR="0094553E">
        <w:t xml:space="preserve">he </w:t>
      </w:r>
      <w:r w:rsidR="001B13ED">
        <w:rPr>
          <w:lang w:val="en-US"/>
        </w:rPr>
        <w:t>had</w:t>
      </w:r>
      <w:r w:rsidR="001B13ED">
        <w:t xml:space="preserve"> </w:t>
      </w:r>
      <w:r w:rsidR="0094553E">
        <w:t>not provide</w:t>
      </w:r>
      <w:r w:rsidR="001B13ED">
        <w:rPr>
          <w:lang w:val="en-US"/>
        </w:rPr>
        <w:t>d</w:t>
      </w:r>
      <w:r w:rsidR="0094553E">
        <w:t xml:space="preserve"> evidence</w:t>
      </w:r>
      <w:r w:rsidR="00A30A02">
        <w:t xml:space="preserve"> of his alleged activities for the Canada Branch </w:t>
      </w:r>
      <w:r w:rsidR="001B13ED">
        <w:rPr>
          <w:lang w:val="en-US"/>
        </w:rPr>
        <w:t xml:space="preserve">of the Movement for Democratic Change </w:t>
      </w:r>
      <w:r w:rsidR="00A30A02">
        <w:t xml:space="preserve">or </w:t>
      </w:r>
      <w:r w:rsidR="0094553E">
        <w:t xml:space="preserve">that he </w:t>
      </w:r>
      <w:r w:rsidR="001B13ED">
        <w:rPr>
          <w:lang w:val="en-US"/>
        </w:rPr>
        <w:t>had been</w:t>
      </w:r>
      <w:r w:rsidR="001B13ED">
        <w:t xml:space="preserve"> </w:t>
      </w:r>
      <w:r w:rsidR="0094553E">
        <w:t>in the past or would be perceived as an opponen</w:t>
      </w:r>
      <w:r w:rsidR="00A833B9">
        <w:t xml:space="preserve">t of the </w:t>
      </w:r>
      <w:r w:rsidR="001B13ED">
        <w:rPr>
          <w:lang w:val="en-US"/>
        </w:rPr>
        <w:t>G</w:t>
      </w:r>
      <w:r w:rsidR="00A833B9">
        <w:t>overnment</w:t>
      </w:r>
      <w:r w:rsidR="001B13ED">
        <w:rPr>
          <w:lang w:val="en-US"/>
        </w:rPr>
        <w:t xml:space="preserve"> of </w:t>
      </w:r>
      <w:r w:rsidR="001B13ED">
        <w:t>Zimbabwe</w:t>
      </w:r>
      <w:r w:rsidR="001B13ED">
        <w:rPr>
          <w:lang w:val="en-US"/>
        </w:rPr>
        <w:t>,</w:t>
      </w:r>
      <w:r w:rsidR="00A30A02">
        <w:t xml:space="preserve"> </w:t>
      </w:r>
      <w:r w:rsidR="001B13ED">
        <w:rPr>
          <w:lang w:val="en-US"/>
        </w:rPr>
        <w:t>n</w:t>
      </w:r>
      <w:r w:rsidR="00A30A02">
        <w:t xml:space="preserve">or </w:t>
      </w:r>
      <w:r w:rsidR="001B13ED">
        <w:rPr>
          <w:lang w:val="en-US"/>
        </w:rPr>
        <w:t>had</w:t>
      </w:r>
      <w:r w:rsidR="001B13ED">
        <w:t xml:space="preserve"> </w:t>
      </w:r>
      <w:r w:rsidR="00A30A02">
        <w:t>he demonstrate</w:t>
      </w:r>
      <w:r w:rsidR="001B13ED">
        <w:rPr>
          <w:lang w:val="en-US"/>
        </w:rPr>
        <w:t>d</w:t>
      </w:r>
      <w:r w:rsidR="0094553E">
        <w:t xml:space="preserve"> that the authorities </w:t>
      </w:r>
      <w:r w:rsidR="001B13ED">
        <w:rPr>
          <w:lang w:val="en-US"/>
        </w:rPr>
        <w:t>of Zimbabwe had been</w:t>
      </w:r>
      <w:r w:rsidR="001B13ED">
        <w:t xml:space="preserve"> </w:t>
      </w:r>
      <w:r w:rsidR="0094553E">
        <w:t xml:space="preserve">aware of any </w:t>
      </w:r>
      <w:r w:rsidR="001B13ED">
        <w:rPr>
          <w:lang w:val="en-US"/>
        </w:rPr>
        <w:t>Movement</w:t>
      </w:r>
      <w:r w:rsidR="001B13ED">
        <w:t xml:space="preserve"> </w:t>
      </w:r>
      <w:r w:rsidR="0094553E">
        <w:t>activities in which he participated</w:t>
      </w:r>
      <w:r w:rsidR="00FD21BC">
        <w:t xml:space="preserve">. </w:t>
      </w:r>
      <w:r w:rsidR="00727BA6">
        <w:t xml:space="preserve">Furthermore, </w:t>
      </w:r>
      <w:r w:rsidR="001B13ED">
        <w:rPr>
          <w:lang w:val="en-US"/>
        </w:rPr>
        <w:t>the country’s</w:t>
      </w:r>
      <w:r w:rsidR="001B13ED">
        <w:t xml:space="preserve"> </w:t>
      </w:r>
      <w:r w:rsidR="00727BA6">
        <w:t xml:space="preserve">poor human rights record was not </w:t>
      </w:r>
      <w:r w:rsidR="001B13ED">
        <w:rPr>
          <w:lang w:val="en-US"/>
        </w:rPr>
        <w:t>sufficient</w:t>
      </w:r>
      <w:r w:rsidR="001B13ED">
        <w:t xml:space="preserve"> </w:t>
      </w:r>
      <w:r w:rsidR="00727BA6">
        <w:t xml:space="preserve">to conclude that he could be at risk of persecution if deported. </w:t>
      </w:r>
      <w:r w:rsidR="00A30A02">
        <w:t xml:space="preserve">At the end of the </w:t>
      </w:r>
      <w:r w:rsidR="004173E8">
        <w:rPr>
          <w:lang w:val="en-US"/>
        </w:rPr>
        <w:t xml:space="preserve">pre-removal refugee assessment </w:t>
      </w:r>
      <w:r w:rsidR="00A30A02">
        <w:t>PRRA proceedings</w:t>
      </w:r>
      <w:r w:rsidR="004A4B6D">
        <w:t>,</w:t>
      </w:r>
      <w:r w:rsidR="00540B05">
        <w:t xml:space="preserve"> the author informed </w:t>
      </w:r>
      <w:r w:rsidR="001B13ED">
        <w:rPr>
          <w:lang w:val="en-US"/>
        </w:rPr>
        <w:t xml:space="preserve">the </w:t>
      </w:r>
      <w:r w:rsidR="00783713">
        <w:t xml:space="preserve">Canada Border Services Agency </w:t>
      </w:r>
      <w:r w:rsidR="00540B05">
        <w:t xml:space="preserve">that he was unable to attend the interview to receive his PRRA decision as he had relocated from Mississauga to Calgary. In February 2005, he also failed to report to </w:t>
      </w:r>
      <w:r w:rsidR="001B13ED">
        <w:rPr>
          <w:lang w:val="en-US"/>
        </w:rPr>
        <w:t>the Agency in</w:t>
      </w:r>
      <w:r w:rsidR="001B13ED">
        <w:t xml:space="preserve"> </w:t>
      </w:r>
      <w:r w:rsidR="00540B05">
        <w:t xml:space="preserve">Calgary to receive his PRRA decision. A warrant for his arrest was issued. In April 2005, </w:t>
      </w:r>
      <w:r w:rsidR="000E32C5">
        <w:t>the author was arrested and subseque</w:t>
      </w:r>
      <w:r w:rsidR="00EE3E91">
        <w:t>ntly released on a cash bond. In</w:t>
      </w:r>
      <w:r w:rsidR="000E32C5">
        <w:t xml:space="preserve"> August 2005, the </w:t>
      </w:r>
      <w:r>
        <w:t>author returned to Mississauga.</w:t>
      </w:r>
    </w:p>
    <w:p w:rsidR="00CD5C2E" w:rsidRPr="00EF7D62" w:rsidRDefault="004A4B6D" w:rsidP="00C213F2">
      <w:pPr>
        <w:pStyle w:val="SingleTxtG"/>
        <w:rPr>
          <w:lang w:val="en-GB"/>
        </w:rPr>
      </w:pPr>
      <w:r>
        <w:t>2.10</w:t>
      </w:r>
      <w:r>
        <w:tab/>
      </w:r>
      <w:r w:rsidR="00CD5C2E">
        <w:t xml:space="preserve">On 9 December 2005, the author was </w:t>
      </w:r>
      <w:r w:rsidR="00EE3E91">
        <w:t xml:space="preserve">convicted of </w:t>
      </w:r>
      <w:r w:rsidR="001B13ED">
        <w:rPr>
          <w:lang w:val="en-US"/>
        </w:rPr>
        <w:t>im</w:t>
      </w:r>
      <w:r w:rsidR="00EE3E91">
        <w:t>personating with intent in a matter dealing with a mortgage application,</w:t>
      </w:r>
      <w:r w:rsidR="00CD5C2E">
        <w:t xml:space="preserve"> </w:t>
      </w:r>
      <w:r w:rsidR="001B13ED">
        <w:rPr>
          <w:lang w:val="en-US"/>
        </w:rPr>
        <w:t>in violation of</w:t>
      </w:r>
      <w:r w:rsidR="009F3EC3">
        <w:t xml:space="preserve"> section 403</w:t>
      </w:r>
      <w:r w:rsidR="001B13ED">
        <w:rPr>
          <w:lang w:val="en-US"/>
        </w:rPr>
        <w:t xml:space="preserve"> </w:t>
      </w:r>
      <w:r w:rsidR="009F3EC3">
        <w:t xml:space="preserve">(a) of the </w:t>
      </w:r>
      <w:r w:rsidR="001B13ED">
        <w:rPr>
          <w:lang w:val="en-US"/>
        </w:rPr>
        <w:t>Criminal Code</w:t>
      </w:r>
      <w:r w:rsidR="009F3EC3">
        <w:t xml:space="preserve">. He received a </w:t>
      </w:r>
      <w:r w:rsidR="00EE5498">
        <w:t>suspended se</w:t>
      </w:r>
      <w:r w:rsidR="008F7CC9">
        <w:t>ntence and 18 months</w:t>
      </w:r>
      <w:r w:rsidR="001B13ED">
        <w:rPr>
          <w:lang w:val="en-US"/>
        </w:rPr>
        <w:t>’</w:t>
      </w:r>
      <w:r w:rsidR="008F7CC9">
        <w:t xml:space="preserve"> probation.</w:t>
      </w:r>
    </w:p>
    <w:p w:rsidR="00EE5498" w:rsidRDefault="00A159E2" w:rsidP="008F7CC9">
      <w:pPr>
        <w:pStyle w:val="SingleTxtG"/>
      </w:pPr>
      <w:r>
        <w:t>2.11</w:t>
      </w:r>
      <w:r w:rsidR="005442FE">
        <w:tab/>
      </w:r>
      <w:r w:rsidR="00EE5498">
        <w:t xml:space="preserve">On 1 February 2007, the author was charged with </w:t>
      </w:r>
      <w:r w:rsidR="001B13ED">
        <w:rPr>
          <w:lang w:val="en-US"/>
        </w:rPr>
        <w:t>issuing</w:t>
      </w:r>
      <w:r w:rsidR="001B13ED">
        <w:t xml:space="preserve"> </w:t>
      </w:r>
      <w:r w:rsidR="00AF287C">
        <w:t xml:space="preserve">forged documents, fraud </w:t>
      </w:r>
      <w:r w:rsidR="001B13ED">
        <w:rPr>
          <w:lang w:val="en-US"/>
        </w:rPr>
        <w:t>in an amount that did not exceed</w:t>
      </w:r>
      <w:r w:rsidR="001B13ED">
        <w:t xml:space="preserve"> </w:t>
      </w:r>
      <w:r w:rsidR="001B13ED">
        <w:rPr>
          <w:lang w:val="en-US"/>
        </w:rPr>
        <w:t>Can</w:t>
      </w:r>
      <w:r w:rsidR="00AF287C">
        <w:t>$</w:t>
      </w:r>
      <w:r w:rsidR="00780B75">
        <w:rPr>
          <w:lang w:val="en-US"/>
        </w:rPr>
        <w:t xml:space="preserve"> </w:t>
      </w:r>
      <w:r w:rsidR="00AF287C">
        <w:t>5</w:t>
      </w:r>
      <w:r w:rsidR="00780B75">
        <w:rPr>
          <w:lang w:val="en-US"/>
        </w:rPr>
        <w:t>,</w:t>
      </w:r>
      <w:r w:rsidR="00AF287C">
        <w:t xml:space="preserve">000, failure to comply with </w:t>
      </w:r>
      <w:r w:rsidR="001B13ED">
        <w:rPr>
          <w:lang w:val="en-US"/>
        </w:rPr>
        <w:t xml:space="preserve">a </w:t>
      </w:r>
      <w:r w:rsidR="00AF287C">
        <w:t xml:space="preserve">probation order, unauthorized use of a credit card, conspiracy to commit fraud, fraud </w:t>
      </w:r>
      <w:r w:rsidR="001B13ED">
        <w:rPr>
          <w:lang w:val="en-US"/>
        </w:rPr>
        <w:t>in an amount that exceeded Can</w:t>
      </w:r>
      <w:r w:rsidR="00AF287C">
        <w:t>$</w:t>
      </w:r>
      <w:r w:rsidR="001B13ED">
        <w:rPr>
          <w:lang w:val="en-US"/>
        </w:rPr>
        <w:t xml:space="preserve"> </w:t>
      </w:r>
      <w:r w:rsidR="00AF287C">
        <w:t>5000, possession of pr</w:t>
      </w:r>
      <w:r w:rsidR="00A818CB">
        <w:t xml:space="preserve">operty obtained by crime </w:t>
      </w:r>
      <w:r w:rsidR="001B13ED">
        <w:rPr>
          <w:lang w:val="en-US"/>
        </w:rPr>
        <w:t xml:space="preserve">with a value of </w:t>
      </w:r>
      <w:r w:rsidR="00A818CB">
        <w:t xml:space="preserve">over </w:t>
      </w:r>
      <w:r w:rsidR="001B13ED">
        <w:rPr>
          <w:lang w:val="en-US"/>
        </w:rPr>
        <w:t>Can</w:t>
      </w:r>
      <w:r w:rsidR="00A818CB">
        <w:t>$</w:t>
      </w:r>
      <w:r w:rsidR="001B13ED">
        <w:rPr>
          <w:lang w:val="en-US"/>
        </w:rPr>
        <w:t xml:space="preserve"> </w:t>
      </w:r>
      <w:r w:rsidR="00AF287C">
        <w:t>5</w:t>
      </w:r>
      <w:r w:rsidR="00371080">
        <w:rPr>
          <w:lang w:val="en-US"/>
        </w:rPr>
        <w:t>,</w:t>
      </w:r>
      <w:r w:rsidR="00AF287C">
        <w:t xml:space="preserve">000 and selling a counterfeit mark. </w:t>
      </w:r>
      <w:r w:rsidR="00371080">
        <w:rPr>
          <w:lang w:val="en-US"/>
        </w:rPr>
        <w:t>He was imprisoned o</w:t>
      </w:r>
      <w:r w:rsidR="00EE3E91">
        <w:t>n the same day</w:t>
      </w:r>
      <w:r w:rsidR="005442FE">
        <w:t>.</w:t>
      </w:r>
      <w:r w:rsidR="00EE5498">
        <w:t xml:space="preserve"> </w:t>
      </w:r>
      <w:r w:rsidR="007271FB">
        <w:t>On 5 April, he ple</w:t>
      </w:r>
      <w:r w:rsidR="00371080">
        <w:rPr>
          <w:lang w:val="en-US"/>
        </w:rPr>
        <w:t>a</w:t>
      </w:r>
      <w:r w:rsidR="007271FB">
        <w:t>d</w:t>
      </w:r>
      <w:r w:rsidR="00371080">
        <w:rPr>
          <w:lang w:val="en-US"/>
        </w:rPr>
        <w:t>ed</w:t>
      </w:r>
      <w:r w:rsidR="007271FB">
        <w:t xml:space="preserve"> guilty and was sentenced to 100 days</w:t>
      </w:r>
      <w:r w:rsidR="00371080">
        <w:rPr>
          <w:lang w:val="en-US"/>
        </w:rPr>
        <w:t>’ imprisonment</w:t>
      </w:r>
      <w:r w:rsidR="007271FB">
        <w:t xml:space="preserve"> </w:t>
      </w:r>
      <w:r w:rsidR="00AF287C">
        <w:t>on each charge</w:t>
      </w:r>
      <w:r w:rsidR="00371080">
        <w:rPr>
          <w:lang w:val="en-US"/>
        </w:rPr>
        <w:t>,</w:t>
      </w:r>
      <w:r w:rsidR="007271FB">
        <w:t xml:space="preserve"> to be served </w:t>
      </w:r>
      <w:r w:rsidR="007271FB">
        <w:lastRenderedPageBreak/>
        <w:t>concurrently</w:t>
      </w:r>
      <w:r w:rsidR="00371080">
        <w:rPr>
          <w:lang w:val="en-US"/>
        </w:rPr>
        <w:t>,</w:t>
      </w:r>
      <w:r w:rsidR="00AF287C">
        <w:t xml:space="preserve"> and</w:t>
      </w:r>
      <w:r w:rsidR="007271FB">
        <w:t xml:space="preserve"> 65 days</w:t>
      </w:r>
      <w:r w:rsidR="00371080">
        <w:rPr>
          <w:lang w:val="en-US"/>
        </w:rPr>
        <w:t>’</w:t>
      </w:r>
      <w:r w:rsidR="007271FB">
        <w:t xml:space="preserve"> presentence custody</w:t>
      </w:r>
      <w:r w:rsidR="006759D9">
        <w:t xml:space="preserve">. </w:t>
      </w:r>
      <w:r w:rsidR="002443D3">
        <w:t>I</w:t>
      </w:r>
      <w:r w:rsidR="00B762DD">
        <w:t xml:space="preserve">n June 2007, </w:t>
      </w:r>
      <w:r w:rsidR="002443D3">
        <w:t xml:space="preserve">upon completion of his sentence, </w:t>
      </w:r>
      <w:r w:rsidR="00B762DD">
        <w:t xml:space="preserve">the author was placed </w:t>
      </w:r>
      <w:r w:rsidR="00371080">
        <w:rPr>
          <w:lang w:val="en-US"/>
        </w:rPr>
        <w:t>i</w:t>
      </w:r>
      <w:r w:rsidR="00B762DD">
        <w:t xml:space="preserve">n immigration </w:t>
      </w:r>
      <w:r w:rsidR="00371080">
        <w:rPr>
          <w:lang w:val="en-US"/>
        </w:rPr>
        <w:t>detention (“immigration hold”)</w:t>
      </w:r>
      <w:r w:rsidR="00371080">
        <w:t xml:space="preserve"> </w:t>
      </w:r>
      <w:r w:rsidR="00B762DD">
        <w:t xml:space="preserve">while </w:t>
      </w:r>
      <w:r w:rsidR="00371080">
        <w:rPr>
          <w:lang w:val="en-US"/>
        </w:rPr>
        <w:t>the Canada Border Services Agency</w:t>
      </w:r>
      <w:r w:rsidR="00371080">
        <w:t xml:space="preserve"> </w:t>
      </w:r>
      <w:r w:rsidR="00B762DD">
        <w:t xml:space="preserve">made arrangements for his removal. </w:t>
      </w:r>
      <w:r w:rsidR="006759D9">
        <w:t xml:space="preserve">While in detention, in late July and August 2007, the author was informed by the prison’s doctor that he </w:t>
      </w:r>
      <w:r w:rsidR="00194854">
        <w:rPr>
          <w:lang w:val="en-US"/>
        </w:rPr>
        <w:t>had tested positive for</w:t>
      </w:r>
      <w:r w:rsidR="00194854">
        <w:t xml:space="preserve"> </w:t>
      </w:r>
      <w:r w:rsidR="006759D9">
        <w:t>HIV</w:t>
      </w:r>
      <w:r w:rsidR="00371080">
        <w:rPr>
          <w:lang w:val="en-US"/>
        </w:rPr>
        <w:t xml:space="preserve">; </w:t>
      </w:r>
      <w:r w:rsidR="00E958AB">
        <w:rPr>
          <w:lang w:val="en-US"/>
        </w:rPr>
        <w:t>his results</w:t>
      </w:r>
      <w:r w:rsidR="00B7086C">
        <w:rPr>
          <w:lang w:val="en-US"/>
        </w:rPr>
        <w:t xml:space="preserve"> for the</w:t>
      </w:r>
      <w:r w:rsidR="00B7086C">
        <w:t xml:space="preserve"> </w:t>
      </w:r>
      <w:r w:rsidR="006759D9">
        <w:t xml:space="preserve">Mantoux </w:t>
      </w:r>
      <w:r w:rsidR="00371080">
        <w:rPr>
          <w:lang w:val="en-US"/>
        </w:rPr>
        <w:t>t</w:t>
      </w:r>
      <w:r w:rsidR="00B7086C">
        <w:rPr>
          <w:lang w:val="en-US"/>
        </w:rPr>
        <w:t>est for</w:t>
      </w:r>
      <w:r w:rsidR="00371080">
        <w:rPr>
          <w:lang w:val="en-US"/>
        </w:rPr>
        <w:t xml:space="preserve"> tuberculosis</w:t>
      </w:r>
      <w:r w:rsidR="00E958AB">
        <w:rPr>
          <w:lang w:val="en-US"/>
        </w:rPr>
        <w:t xml:space="preserve"> were also positive</w:t>
      </w:r>
      <w:r w:rsidR="00A818CB" w:rsidRPr="00EF7D62">
        <w:rPr>
          <w:lang w:val="en-GB"/>
        </w:rPr>
        <w:t>.</w:t>
      </w:r>
      <w:r w:rsidR="006759D9">
        <w:t xml:space="preserve"> His wif</w:t>
      </w:r>
      <w:r w:rsidR="005442FE">
        <w:t xml:space="preserve">e and the child born in 2003 were also diagnosed </w:t>
      </w:r>
      <w:r w:rsidR="00371080">
        <w:rPr>
          <w:lang w:val="en-US"/>
        </w:rPr>
        <w:t>as</w:t>
      </w:r>
      <w:r w:rsidR="00371080">
        <w:t xml:space="preserve"> </w:t>
      </w:r>
      <w:r w:rsidR="008D5206">
        <w:rPr>
          <w:lang w:val="en-US"/>
        </w:rPr>
        <w:t xml:space="preserve">being </w:t>
      </w:r>
      <w:r w:rsidR="006759D9">
        <w:t>HIV</w:t>
      </w:r>
      <w:r w:rsidR="005C1329">
        <w:rPr>
          <w:lang w:val="en-US"/>
        </w:rPr>
        <w:t>-</w:t>
      </w:r>
      <w:r w:rsidR="006759D9">
        <w:t>positive.</w:t>
      </w:r>
    </w:p>
    <w:p w:rsidR="00783713" w:rsidRPr="009B3268" w:rsidRDefault="00A159E2">
      <w:pPr>
        <w:pStyle w:val="SingleTxtG"/>
      </w:pPr>
      <w:r w:rsidRPr="000D3758">
        <w:t>2.12</w:t>
      </w:r>
      <w:r w:rsidR="005442FE" w:rsidRPr="000D3758">
        <w:tab/>
      </w:r>
      <w:r w:rsidR="001F493D" w:rsidRPr="000D3758">
        <w:t>On 15 November 2007, the author and his wife submitted an application for permanent residence on humanitarian and co</w:t>
      </w:r>
      <w:r w:rsidR="005A5D22" w:rsidRPr="000D3758">
        <w:t>mpassionate (H&amp;C) grounds.</w:t>
      </w:r>
      <w:r w:rsidR="001F493D" w:rsidRPr="000D3758">
        <w:t xml:space="preserve"> </w:t>
      </w:r>
      <w:r w:rsidR="00115695" w:rsidRPr="009B3268">
        <w:t xml:space="preserve">They alleged that the author, his wife and </w:t>
      </w:r>
      <w:r w:rsidR="00194854">
        <w:rPr>
          <w:lang w:val="en-US"/>
        </w:rPr>
        <w:t>the</w:t>
      </w:r>
      <w:r w:rsidR="00194854" w:rsidRPr="009B3268">
        <w:t xml:space="preserve"> </w:t>
      </w:r>
      <w:r w:rsidR="00115695" w:rsidRPr="009B3268">
        <w:t xml:space="preserve">daughter </w:t>
      </w:r>
      <w:r w:rsidR="00194854">
        <w:rPr>
          <w:lang w:val="en-US"/>
        </w:rPr>
        <w:t>who was</w:t>
      </w:r>
      <w:r w:rsidR="00194854" w:rsidRPr="009B3268">
        <w:t xml:space="preserve"> </w:t>
      </w:r>
      <w:r w:rsidR="00115695" w:rsidRPr="009B3268">
        <w:t>HIV</w:t>
      </w:r>
      <w:r w:rsidR="005C1329">
        <w:rPr>
          <w:lang w:val="en-US"/>
        </w:rPr>
        <w:t>-</w:t>
      </w:r>
      <w:r w:rsidR="00115695" w:rsidRPr="009B3268">
        <w:t xml:space="preserve">positive would not be able to obtain </w:t>
      </w:r>
      <w:r w:rsidR="00371080">
        <w:rPr>
          <w:lang w:val="en-US"/>
        </w:rPr>
        <w:t>or</w:t>
      </w:r>
      <w:r w:rsidR="00371080" w:rsidRPr="009B3268">
        <w:t xml:space="preserve"> </w:t>
      </w:r>
      <w:r w:rsidR="00E66C34" w:rsidRPr="009B3268">
        <w:t xml:space="preserve">to afford </w:t>
      </w:r>
      <w:r w:rsidR="00115695" w:rsidRPr="009B3268">
        <w:t>medical care and antiretroviral</w:t>
      </w:r>
      <w:r w:rsidR="00672CFD" w:rsidRPr="009B3268">
        <w:t xml:space="preserve"> </w:t>
      </w:r>
      <w:r w:rsidR="00115695" w:rsidRPr="009B3268">
        <w:t>medications</w:t>
      </w:r>
      <w:r w:rsidR="00371080">
        <w:rPr>
          <w:lang w:val="en-US"/>
        </w:rPr>
        <w:t xml:space="preserve"> </w:t>
      </w:r>
      <w:r w:rsidR="00115695" w:rsidRPr="009B3268">
        <w:t xml:space="preserve">in Zimbabwe; </w:t>
      </w:r>
      <w:r w:rsidR="00E66C34" w:rsidRPr="009B3268">
        <w:t xml:space="preserve">that the political and socioeconomic situation in </w:t>
      </w:r>
      <w:r w:rsidR="00115695" w:rsidRPr="009B3268">
        <w:t xml:space="preserve">Zimbabwe </w:t>
      </w:r>
      <w:r w:rsidR="00E66C34" w:rsidRPr="009B3268">
        <w:t>was very poor, in</w:t>
      </w:r>
      <w:r w:rsidR="0059492B" w:rsidRPr="009B3268">
        <w:t xml:space="preserve">cluding </w:t>
      </w:r>
      <w:r w:rsidR="00371080">
        <w:rPr>
          <w:lang w:val="en-US"/>
        </w:rPr>
        <w:t>the</w:t>
      </w:r>
      <w:r w:rsidR="00371080" w:rsidRPr="009B3268">
        <w:t xml:space="preserve"> </w:t>
      </w:r>
      <w:r w:rsidR="0059492B" w:rsidRPr="009B3268">
        <w:t xml:space="preserve">human rights </w:t>
      </w:r>
      <w:r w:rsidR="00371080">
        <w:rPr>
          <w:lang w:val="en-US"/>
        </w:rPr>
        <w:t>situation</w:t>
      </w:r>
      <w:r w:rsidR="00115695" w:rsidRPr="009B3268">
        <w:t xml:space="preserve">; </w:t>
      </w:r>
      <w:r w:rsidR="00E66C34" w:rsidRPr="009B3268">
        <w:t xml:space="preserve">that </w:t>
      </w:r>
      <w:r w:rsidR="00115695" w:rsidRPr="009B3268">
        <w:t xml:space="preserve">as failed </w:t>
      </w:r>
      <w:r w:rsidR="00E66C34" w:rsidRPr="009B3268">
        <w:t>asylum</w:t>
      </w:r>
      <w:r w:rsidR="00371080">
        <w:rPr>
          <w:lang w:val="en-US"/>
        </w:rPr>
        <w:t xml:space="preserve"> </w:t>
      </w:r>
      <w:r w:rsidR="00E66C34" w:rsidRPr="009B3268">
        <w:t>seeker</w:t>
      </w:r>
      <w:r w:rsidR="00371080">
        <w:rPr>
          <w:lang w:val="en-US"/>
        </w:rPr>
        <w:t>s</w:t>
      </w:r>
      <w:r w:rsidR="00115695" w:rsidRPr="009B3268">
        <w:t xml:space="preserve"> they would be </w:t>
      </w:r>
      <w:r w:rsidR="00E66C34" w:rsidRPr="009B3268">
        <w:t>severely mistreated</w:t>
      </w:r>
      <w:r w:rsidR="00115695" w:rsidRPr="009B3268">
        <w:t xml:space="preserve">; and </w:t>
      </w:r>
      <w:r w:rsidR="005442FE" w:rsidRPr="009B3268">
        <w:t xml:space="preserve">that </w:t>
      </w:r>
      <w:r w:rsidR="00115695" w:rsidRPr="009B3268">
        <w:t xml:space="preserve">it </w:t>
      </w:r>
      <w:r w:rsidR="00E66C34" w:rsidRPr="009B3268">
        <w:t>was</w:t>
      </w:r>
      <w:r w:rsidR="00115695" w:rsidRPr="009B3268">
        <w:t xml:space="preserve"> in the best interest of their seven children </w:t>
      </w:r>
      <w:r w:rsidR="00371080">
        <w:rPr>
          <w:lang w:val="en-US"/>
        </w:rPr>
        <w:t xml:space="preserve">that they </w:t>
      </w:r>
      <w:r w:rsidR="00115695" w:rsidRPr="009B3268">
        <w:t>remain together as a family</w:t>
      </w:r>
      <w:r w:rsidR="005442FE" w:rsidRPr="009B3268">
        <w:t xml:space="preserve"> in Canada</w:t>
      </w:r>
      <w:r w:rsidR="00A818CB" w:rsidRPr="009B3268">
        <w:t>.</w:t>
      </w:r>
    </w:p>
    <w:p w:rsidR="00783713" w:rsidRPr="00532B5C" w:rsidRDefault="00A159E2" w:rsidP="00A818CB">
      <w:pPr>
        <w:pStyle w:val="SingleTxtG"/>
      </w:pPr>
      <w:r>
        <w:t>2.13</w:t>
      </w:r>
      <w:r w:rsidR="005442FE">
        <w:tab/>
      </w:r>
      <w:r w:rsidR="009C0144" w:rsidRPr="00C213F2">
        <w:t xml:space="preserve">On 19 November 2007, the author requested deferral of his removal from Canada until his </w:t>
      </w:r>
      <w:r w:rsidR="00E958AB">
        <w:t>humanitarian and compassionate</w:t>
      </w:r>
      <w:r w:rsidR="009C0144" w:rsidRPr="00C213F2">
        <w:t xml:space="preserve"> application </w:t>
      </w:r>
      <w:r w:rsidR="00371080">
        <w:rPr>
          <w:lang w:val="en-US"/>
        </w:rPr>
        <w:t>had been</w:t>
      </w:r>
      <w:r w:rsidR="00371080" w:rsidRPr="00C213F2">
        <w:t xml:space="preserve"> </w:t>
      </w:r>
      <w:r w:rsidR="009C0144" w:rsidRPr="00C213F2">
        <w:t xml:space="preserve">determined. On 5 December, the </w:t>
      </w:r>
      <w:r w:rsidR="00194854">
        <w:rPr>
          <w:lang w:val="en-US"/>
        </w:rPr>
        <w:t>Canada Border Services Agency</w:t>
      </w:r>
      <w:r w:rsidR="00194854">
        <w:t xml:space="preserve"> </w:t>
      </w:r>
      <w:r w:rsidR="00783713" w:rsidRPr="00C213F2">
        <w:t xml:space="preserve">enforcement </w:t>
      </w:r>
      <w:r w:rsidR="009C0144" w:rsidRPr="00C213F2">
        <w:t>officer</w:t>
      </w:r>
      <w:r w:rsidR="00783713" w:rsidRPr="00C213F2">
        <w:t xml:space="preserve"> de</w:t>
      </w:r>
      <w:r w:rsidR="009C0144" w:rsidRPr="00C213F2">
        <w:t>n</w:t>
      </w:r>
      <w:r w:rsidR="00783713" w:rsidRPr="00C213F2">
        <w:t>i</w:t>
      </w:r>
      <w:r w:rsidR="009C0144" w:rsidRPr="00C213F2">
        <w:t xml:space="preserve">ed </w:t>
      </w:r>
      <w:r w:rsidR="00371080">
        <w:rPr>
          <w:lang w:val="en-US"/>
        </w:rPr>
        <w:t>the</w:t>
      </w:r>
      <w:r w:rsidR="00371080" w:rsidRPr="00C213F2">
        <w:t xml:space="preserve"> </w:t>
      </w:r>
      <w:r w:rsidR="009C0144" w:rsidRPr="00A818CB">
        <w:rPr>
          <w:sz w:val="22"/>
          <w:szCs w:val="22"/>
        </w:rPr>
        <w:t>request</w:t>
      </w:r>
      <w:r w:rsidR="009C0144" w:rsidRPr="00C213F2">
        <w:t xml:space="preserve">. </w:t>
      </w:r>
      <w:r w:rsidR="00783713" w:rsidRPr="00C213F2">
        <w:t>The officer noted that a medical doctor had determined that the author’s immune system was fully functional despite his HIV</w:t>
      </w:r>
      <w:r w:rsidR="00371080">
        <w:rPr>
          <w:lang w:val="en-US"/>
        </w:rPr>
        <w:t>-</w:t>
      </w:r>
      <w:r w:rsidR="00783713" w:rsidRPr="00C213F2">
        <w:t xml:space="preserve">positive status and that he had not yet started taking </w:t>
      </w:r>
      <w:r w:rsidR="00371080" w:rsidRPr="00390B5E">
        <w:t>antiretroviral medications</w:t>
      </w:r>
      <w:r w:rsidR="00371080">
        <w:rPr>
          <w:lang w:val="en-US"/>
        </w:rPr>
        <w:t>,</w:t>
      </w:r>
      <w:r w:rsidR="008410F9" w:rsidRPr="00C213F2">
        <w:t xml:space="preserve"> and</w:t>
      </w:r>
      <w:r w:rsidR="00783713" w:rsidRPr="00C213F2">
        <w:t xml:space="preserve"> that acco</w:t>
      </w:r>
      <w:r w:rsidR="005442FE" w:rsidRPr="00C213F2">
        <w:t>rding to documents submitted by the author</w:t>
      </w:r>
      <w:r w:rsidR="00783713" w:rsidRPr="00C213F2">
        <w:t xml:space="preserve">, </w:t>
      </w:r>
      <w:r w:rsidR="00371080">
        <w:rPr>
          <w:lang w:val="en-US"/>
        </w:rPr>
        <w:t>those medications</w:t>
      </w:r>
      <w:r w:rsidR="00371080" w:rsidRPr="00C213F2">
        <w:t xml:space="preserve"> </w:t>
      </w:r>
      <w:r w:rsidR="00783713" w:rsidRPr="00C213F2">
        <w:t xml:space="preserve">were available in Zimbabwe and he could </w:t>
      </w:r>
      <w:r w:rsidR="00371080" w:rsidRPr="00C213F2">
        <w:t xml:space="preserve">therefore </w:t>
      </w:r>
      <w:r w:rsidR="00783713" w:rsidRPr="00C213F2">
        <w:t>access them</w:t>
      </w:r>
      <w:r w:rsidR="00371080">
        <w:rPr>
          <w:lang w:val="en-US"/>
        </w:rPr>
        <w:t>,</w:t>
      </w:r>
      <w:r w:rsidR="00783713" w:rsidRPr="00C213F2">
        <w:t xml:space="preserve"> despite their cost. The office</w:t>
      </w:r>
      <w:r w:rsidR="00371080">
        <w:rPr>
          <w:lang w:val="en-US"/>
        </w:rPr>
        <w:t>r</w:t>
      </w:r>
      <w:r w:rsidR="00783713" w:rsidRPr="00C213F2">
        <w:t xml:space="preserve"> also noted that the author had made no submissions regarding his involvement in the upbringing of his children</w:t>
      </w:r>
      <w:r w:rsidR="00371080">
        <w:rPr>
          <w:lang w:val="en-US"/>
        </w:rPr>
        <w:t>,</w:t>
      </w:r>
      <w:r w:rsidR="00783713" w:rsidRPr="00C213F2">
        <w:t xml:space="preserve"> and that the children were under the care of their mother and under the supervision of the</w:t>
      </w:r>
      <w:r w:rsidR="000A0241" w:rsidRPr="00C213F2">
        <w:t xml:space="preserve"> Durham Children’s Aid Society</w:t>
      </w:r>
      <w:r w:rsidR="00532B5C" w:rsidRPr="00C213F2">
        <w:t>, by order of the Ontario Superior Court of Justice</w:t>
      </w:r>
      <w:r w:rsidR="00783713" w:rsidRPr="00C213F2">
        <w:t xml:space="preserve">. </w:t>
      </w:r>
      <w:r w:rsidR="00D07B23" w:rsidRPr="00C213F2">
        <w:t>Furthermore, his</w:t>
      </w:r>
      <w:r w:rsidR="00783713" w:rsidRPr="00C213F2">
        <w:t xml:space="preserve"> removal would only maintain the status quo given that </w:t>
      </w:r>
      <w:r w:rsidR="00D07B23" w:rsidRPr="00C213F2">
        <w:t>he</w:t>
      </w:r>
      <w:r w:rsidR="00783713" w:rsidRPr="00C213F2">
        <w:t xml:space="preserve"> had been separated from his family since 10 February 2007 as a result of his incarceration.</w:t>
      </w:r>
      <w:r w:rsidR="00532B5C" w:rsidRPr="00C213F2">
        <w:t xml:space="preserve"> His removal was scheduled for 8 January 2008.</w:t>
      </w:r>
    </w:p>
    <w:p w:rsidR="00532B5C" w:rsidRPr="001701C2" w:rsidRDefault="00A159E2" w:rsidP="00C213F2">
      <w:pPr>
        <w:pStyle w:val="SingleTxtG"/>
        <w:rPr>
          <w:i/>
          <w:color w:val="000000"/>
          <w:u w:val="single"/>
        </w:rPr>
      </w:pPr>
      <w:r>
        <w:t>2.14</w:t>
      </w:r>
      <w:r w:rsidR="005442FE">
        <w:tab/>
      </w:r>
      <w:r w:rsidR="00532B5C">
        <w:t xml:space="preserve">On 12 December 2007, the author submitted to the Federal Court an application for leave and judicial review </w:t>
      </w:r>
      <w:r w:rsidR="00780B75">
        <w:rPr>
          <w:lang w:val="en-US"/>
        </w:rPr>
        <w:t>of</w:t>
      </w:r>
      <w:r w:rsidR="00780B75">
        <w:t xml:space="preserve"> </w:t>
      </w:r>
      <w:r w:rsidR="00532B5C">
        <w:t xml:space="preserve">the decision not to defer his removal, pending the </w:t>
      </w:r>
      <w:r w:rsidR="00E958AB">
        <w:t>humanitarian and compassionate</w:t>
      </w:r>
      <w:r w:rsidR="00532B5C">
        <w:t xml:space="preserve"> application. </w:t>
      </w:r>
      <w:r w:rsidR="0059492B">
        <w:t>As a result, h</w:t>
      </w:r>
      <w:r w:rsidR="00532B5C">
        <w:t xml:space="preserve">is removal was stayed by the Federal Court. </w:t>
      </w:r>
      <w:r w:rsidR="003F327E">
        <w:t xml:space="preserve">In March 2008, the author was released from detention. </w:t>
      </w:r>
      <w:r w:rsidR="003F327E" w:rsidRPr="00C213F2">
        <w:t>He</w:t>
      </w:r>
      <w:r w:rsidR="003F327E">
        <w:t xml:space="preserve"> claimed that he </w:t>
      </w:r>
      <w:r w:rsidR="00780B75">
        <w:rPr>
          <w:lang w:val="en-US"/>
        </w:rPr>
        <w:t xml:space="preserve">had </w:t>
      </w:r>
      <w:r w:rsidR="003F327E">
        <w:t xml:space="preserve">had regular telephone contact with his wife and children while in detention. </w:t>
      </w:r>
      <w:r w:rsidR="001F493D">
        <w:t>On 7 July, the Federal Court dismissed the author’s application for judicial review.</w:t>
      </w:r>
      <w:r w:rsidR="008E7E8D">
        <w:t xml:space="preserve"> </w:t>
      </w:r>
      <w:r w:rsidR="00532B5C">
        <w:t xml:space="preserve">It found no reviewable error in the </w:t>
      </w:r>
      <w:r w:rsidR="00780B75">
        <w:rPr>
          <w:lang w:val="en-US"/>
        </w:rPr>
        <w:t>enforcement</w:t>
      </w:r>
      <w:r w:rsidR="00194854">
        <w:rPr>
          <w:lang w:val="en-US"/>
        </w:rPr>
        <w:t xml:space="preserve"> </w:t>
      </w:r>
      <w:r w:rsidR="00780B75">
        <w:rPr>
          <w:lang w:val="en-US"/>
        </w:rPr>
        <w:t>officer</w:t>
      </w:r>
      <w:r w:rsidR="00194854">
        <w:rPr>
          <w:lang w:val="en-US"/>
        </w:rPr>
        <w:t>’</w:t>
      </w:r>
      <w:r w:rsidR="00780B75">
        <w:rPr>
          <w:lang w:val="en-US"/>
        </w:rPr>
        <w:t>s decision that the author should be removed.</w:t>
      </w:r>
      <w:r w:rsidR="00532B5C">
        <w:t xml:space="preserve"> </w:t>
      </w:r>
    </w:p>
    <w:p w:rsidR="001F493D" w:rsidRDefault="00A159E2" w:rsidP="00C213F2">
      <w:pPr>
        <w:pStyle w:val="SingleTxtG"/>
        <w:rPr>
          <w:lang w:val="en-GB"/>
        </w:rPr>
      </w:pPr>
      <w:r>
        <w:rPr>
          <w:lang w:val="en-GB"/>
        </w:rPr>
        <w:t>2.15</w:t>
      </w:r>
      <w:r w:rsidR="003F327E" w:rsidRPr="003F327E">
        <w:rPr>
          <w:lang w:val="en-GB"/>
        </w:rPr>
        <w:tab/>
      </w:r>
      <w:r w:rsidR="00BA6B41">
        <w:t xml:space="preserve">On 13 August 2008, another removal order was </w:t>
      </w:r>
      <w:r w:rsidR="00780B75">
        <w:rPr>
          <w:lang w:val="en-US"/>
        </w:rPr>
        <w:t>issued</w:t>
      </w:r>
      <w:r w:rsidR="00780B75">
        <w:t xml:space="preserve"> </w:t>
      </w:r>
      <w:r w:rsidR="00BA6B41" w:rsidRPr="00BA6B41">
        <w:rPr>
          <w:lang w:val="en-GB"/>
        </w:rPr>
        <w:t xml:space="preserve">by </w:t>
      </w:r>
      <w:r w:rsidR="00780B75">
        <w:rPr>
          <w:lang w:val="en-GB"/>
        </w:rPr>
        <w:t xml:space="preserve">the </w:t>
      </w:r>
      <w:r w:rsidR="00780B75">
        <w:rPr>
          <w:lang w:val="en-US"/>
        </w:rPr>
        <w:t>Canada Border Services Agency</w:t>
      </w:r>
      <w:r w:rsidR="0059492B">
        <w:t xml:space="preserve">. On 26 August, </w:t>
      </w:r>
      <w:r w:rsidR="0059492B" w:rsidRPr="0059492B">
        <w:rPr>
          <w:lang w:val="en-GB"/>
        </w:rPr>
        <w:t>a</w:t>
      </w:r>
      <w:r w:rsidR="00780B75">
        <w:rPr>
          <w:lang w:val="en-GB"/>
        </w:rPr>
        <w:t>n</w:t>
      </w:r>
      <w:r w:rsidR="00BA6B41">
        <w:t xml:space="preserve"> </w:t>
      </w:r>
      <w:r w:rsidR="00780B75">
        <w:rPr>
          <w:lang w:val="en-GB"/>
        </w:rPr>
        <w:t>Agency</w:t>
      </w:r>
      <w:r w:rsidR="00780B75" w:rsidRPr="00BA6B41">
        <w:rPr>
          <w:lang w:val="en-GB"/>
        </w:rPr>
        <w:t xml:space="preserve"> </w:t>
      </w:r>
      <w:r w:rsidR="0059492B">
        <w:t>enforcement</w:t>
      </w:r>
      <w:r w:rsidR="00BA6B41">
        <w:t xml:space="preserve"> </w:t>
      </w:r>
      <w:r w:rsidR="00BA6B41" w:rsidRPr="00BA6B41">
        <w:rPr>
          <w:lang w:val="en-GB"/>
        </w:rPr>
        <w:t>o</w:t>
      </w:r>
      <w:r w:rsidR="00BA6B41">
        <w:t xml:space="preserve">fficer denied </w:t>
      </w:r>
      <w:r w:rsidR="00BA6B41" w:rsidRPr="00BA6B41">
        <w:rPr>
          <w:lang w:val="en-GB"/>
        </w:rPr>
        <w:t>his</w:t>
      </w:r>
      <w:r w:rsidR="0059492B">
        <w:t xml:space="preserve"> request</w:t>
      </w:r>
      <w:r w:rsidR="00BA6B41">
        <w:t xml:space="preserve"> to defer removal. </w:t>
      </w:r>
      <w:r w:rsidR="00BA6B41">
        <w:rPr>
          <w:lang w:val="en-GB"/>
        </w:rPr>
        <w:t>On 29 August, the author submitted to the Federal Court another application for lea</w:t>
      </w:r>
      <w:r w:rsidR="001701C2">
        <w:rPr>
          <w:lang w:val="en-GB"/>
        </w:rPr>
        <w:t xml:space="preserve">ve and judicial review </w:t>
      </w:r>
      <w:r w:rsidR="00780B75">
        <w:rPr>
          <w:lang w:val="en-GB"/>
        </w:rPr>
        <w:t xml:space="preserve">of </w:t>
      </w:r>
      <w:r w:rsidR="001701C2">
        <w:rPr>
          <w:lang w:val="en-GB"/>
        </w:rPr>
        <w:t>the</w:t>
      </w:r>
      <w:r w:rsidR="0059492B">
        <w:rPr>
          <w:lang w:val="en-GB"/>
        </w:rPr>
        <w:t xml:space="preserve"> decision</w:t>
      </w:r>
      <w:r w:rsidR="00BA6B41">
        <w:rPr>
          <w:lang w:val="en-GB"/>
        </w:rPr>
        <w:t xml:space="preserve"> not to defer his removal to his country of origin, pending the </w:t>
      </w:r>
      <w:r w:rsidR="00E958AB">
        <w:rPr>
          <w:lang w:val="en-GB"/>
        </w:rPr>
        <w:t>humanitarian and compassionate</w:t>
      </w:r>
      <w:r w:rsidR="00BA6B41">
        <w:rPr>
          <w:lang w:val="en-GB"/>
        </w:rPr>
        <w:t xml:space="preserve"> application. On 29 January 2009, the author was again detained. </w:t>
      </w:r>
      <w:r w:rsidR="00BA6B41">
        <w:t xml:space="preserve">On 17 February, the Federal Court set aside the </w:t>
      </w:r>
      <w:r w:rsidR="00BA6B41" w:rsidRPr="00BA6B41">
        <w:rPr>
          <w:lang w:val="en-GB"/>
        </w:rPr>
        <w:t>e</w:t>
      </w:r>
      <w:r w:rsidR="00BA6B41">
        <w:t xml:space="preserve">nforcement </w:t>
      </w:r>
      <w:r w:rsidR="00BA6B41" w:rsidRPr="00BA6B41">
        <w:rPr>
          <w:lang w:val="en-GB"/>
        </w:rPr>
        <w:t>o</w:t>
      </w:r>
      <w:r w:rsidR="00BA6B41">
        <w:t>fficer’s decision</w:t>
      </w:r>
      <w:r w:rsidR="00BA6B41" w:rsidRPr="00BA6B41">
        <w:rPr>
          <w:lang w:val="en-GB"/>
        </w:rPr>
        <w:t xml:space="preserve"> and the author’s</w:t>
      </w:r>
      <w:r w:rsidR="00BA6B41">
        <w:t xml:space="preserve"> removal was stayed until a decision </w:t>
      </w:r>
      <w:r w:rsidR="00780B75">
        <w:rPr>
          <w:lang w:val="en-US"/>
        </w:rPr>
        <w:t>had been</w:t>
      </w:r>
      <w:r w:rsidR="00780B75">
        <w:t xml:space="preserve"> </w:t>
      </w:r>
      <w:r w:rsidR="00BA6B41">
        <w:t xml:space="preserve">reached on his </w:t>
      </w:r>
      <w:r w:rsidR="00E958AB">
        <w:t>humanitarian and compassionate</w:t>
      </w:r>
      <w:r w:rsidR="00BA6B41">
        <w:t xml:space="preserve"> application</w:t>
      </w:r>
      <w:r w:rsidR="001F493D">
        <w:rPr>
          <w:lang w:val="en-GB"/>
        </w:rPr>
        <w:t>.</w:t>
      </w:r>
      <w:r w:rsidR="0029791F">
        <w:rPr>
          <w:lang w:val="en-GB"/>
        </w:rPr>
        <w:t xml:space="preserve"> In October, the author was released from detention upon payment of a cash bond.</w:t>
      </w:r>
      <w:r w:rsidR="001F493D">
        <w:rPr>
          <w:lang w:val="en-GB"/>
        </w:rPr>
        <w:t xml:space="preserve"> </w:t>
      </w:r>
    </w:p>
    <w:p w:rsidR="00C600C6" w:rsidRDefault="00321847" w:rsidP="00EC6695">
      <w:pPr>
        <w:pStyle w:val="SingleTxtG"/>
      </w:pPr>
      <w:r>
        <w:t>2.16</w:t>
      </w:r>
      <w:r w:rsidR="00C04A97">
        <w:tab/>
      </w:r>
      <w:r w:rsidR="00780B75">
        <w:rPr>
          <w:lang w:val="en-US"/>
        </w:rPr>
        <w:t>O</w:t>
      </w:r>
      <w:r w:rsidR="001F493D">
        <w:t xml:space="preserve">n </w:t>
      </w:r>
      <w:r w:rsidR="000E0667">
        <w:t xml:space="preserve">27 </w:t>
      </w:r>
      <w:r w:rsidR="001F493D">
        <w:t xml:space="preserve">November 2009, </w:t>
      </w:r>
      <w:r w:rsidR="00780B75">
        <w:rPr>
          <w:lang w:val="en-US"/>
        </w:rPr>
        <w:t>Citizenship and Immigration Canada</w:t>
      </w:r>
      <w:r w:rsidR="00780B75">
        <w:t xml:space="preserve"> </w:t>
      </w:r>
      <w:r w:rsidR="001F493D">
        <w:t xml:space="preserve">decided to grant </w:t>
      </w:r>
      <w:r w:rsidR="00780B75">
        <w:rPr>
          <w:lang w:val="en-US"/>
        </w:rPr>
        <w:t xml:space="preserve">a </w:t>
      </w:r>
      <w:r w:rsidR="001F493D">
        <w:t xml:space="preserve">residence permit on </w:t>
      </w:r>
      <w:r w:rsidR="00E958AB">
        <w:t>humanitarian and compassionate</w:t>
      </w:r>
      <w:r w:rsidR="001F493D">
        <w:t xml:space="preserve"> grounds to the author’s wife and th</w:t>
      </w:r>
      <w:r w:rsidR="000E0667">
        <w:t>eir three non-Canadian children;</w:t>
      </w:r>
      <w:r w:rsidR="001F493D">
        <w:t xml:space="preserve"> </w:t>
      </w:r>
      <w:r w:rsidR="000E0667">
        <w:t>h</w:t>
      </w:r>
      <w:r w:rsidR="001F493D">
        <w:t xml:space="preserve">owever, </w:t>
      </w:r>
      <w:r w:rsidR="00C600C6">
        <w:t xml:space="preserve">the author’s </w:t>
      </w:r>
      <w:r w:rsidR="00E958AB">
        <w:t>humanitarian and compassionate</w:t>
      </w:r>
      <w:r w:rsidR="00C600C6">
        <w:t xml:space="preserve"> application was denied.</w:t>
      </w:r>
      <w:r w:rsidR="00E62D5F">
        <w:t xml:space="preserve"> </w:t>
      </w:r>
      <w:r w:rsidR="00C600C6">
        <w:t xml:space="preserve">The </w:t>
      </w:r>
      <w:r w:rsidR="00780B75">
        <w:rPr>
          <w:lang w:val="en-US"/>
        </w:rPr>
        <w:t>agency</w:t>
      </w:r>
      <w:r w:rsidR="00780B75">
        <w:t xml:space="preserve"> </w:t>
      </w:r>
      <w:r w:rsidR="00C600C6">
        <w:t>maintained that although the author’s removal would cause the author</w:t>
      </w:r>
      <w:r w:rsidR="00780B75">
        <w:rPr>
          <w:lang w:val="en-US"/>
        </w:rPr>
        <w:t xml:space="preserve"> to be permanently separated from</w:t>
      </w:r>
      <w:r w:rsidR="00C600C6">
        <w:t xml:space="preserve"> his wife and </w:t>
      </w:r>
      <w:r w:rsidR="00780B75">
        <w:rPr>
          <w:lang w:val="en-US"/>
        </w:rPr>
        <w:t>seven</w:t>
      </w:r>
      <w:r w:rsidR="00C600C6">
        <w:t xml:space="preserve"> children, his application was inadmissible </w:t>
      </w:r>
      <w:r w:rsidR="00780B75">
        <w:rPr>
          <w:lang w:val="en-US"/>
        </w:rPr>
        <w:t>on the ground of</w:t>
      </w:r>
      <w:r w:rsidR="00780B75">
        <w:t xml:space="preserve"> </w:t>
      </w:r>
      <w:r w:rsidR="00C600C6">
        <w:t>serious criminality, pursuant to subsection 25</w:t>
      </w:r>
      <w:r w:rsidR="00780B75">
        <w:rPr>
          <w:lang w:val="en-US"/>
        </w:rPr>
        <w:t xml:space="preserve"> </w:t>
      </w:r>
      <w:r w:rsidR="00C600C6">
        <w:t xml:space="preserve">(1) of the Immigration and Refugee Protection Act. Notably, the author had a history of committing fraud-related crimes both </w:t>
      </w:r>
      <w:r w:rsidR="00C27BF5">
        <w:t xml:space="preserve">in </w:t>
      </w:r>
      <w:r w:rsidR="00C600C6" w:rsidRPr="00A818CB">
        <w:t>Canada</w:t>
      </w:r>
      <w:r w:rsidR="00C600C6">
        <w:t xml:space="preserve"> and </w:t>
      </w:r>
      <w:r w:rsidR="00C27BF5">
        <w:t xml:space="preserve">in </w:t>
      </w:r>
      <w:r w:rsidR="00C600C6">
        <w:t>the United States</w:t>
      </w:r>
      <w:r w:rsidR="00B6019E">
        <w:t xml:space="preserve">; </w:t>
      </w:r>
      <w:r w:rsidR="00C600C6">
        <w:t>there was no evidence that he had made any rehabilitative efforts</w:t>
      </w:r>
      <w:r w:rsidR="00B6019E">
        <w:t xml:space="preserve">; </w:t>
      </w:r>
      <w:r w:rsidR="009155FC">
        <w:t xml:space="preserve">his behaviour </w:t>
      </w:r>
      <w:r w:rsidR="00780B75">
        <w:rPr>
          <w:lang w:val="en-US"/>
        </w:rPr>
        <w:t>showed</w:t>
      </w:r>
      <w:r w:rsidR="00780B75">
        <w:t xml:space="preserve"> </w:t>
      </w:r>
      <w:r w:rsidR="009155FC">
        <w:t xml:space="preserve">a pattern </w:t>
      </w:r>
      <w:r w:rsidR="00F86080">
        <w:t xml:space="preserve">of </w:t>
      </w:r>
      <w:r w:rsidR="00F86080">
        <w:lastRenderedPageBreak/>
        <w:t>dishonest dealings;</w:t>
      </w:r>
      <w:r w:rsidR="00B6019E">
        <w:t xml:space="preserve"> </w:t>
      </w:r>
      <w:r w:rsidR="009D2FF3" w:rsidRPr="00EF7D62">
        <w:rPr>
          <w:lang w:val="en-GB"/>
        </w:rPr>
        <w:t xml:space="preserve">and </w:t>
      </w:r>
      <w:r w:rsidR="0059492B">
        <w:t>his</w:t>
      </w:r>
      <w:r w:rsidR="009155FC">
        <w:t xml:space="preserve"> position of trust </w:t>
      </w:r>
      <w:r w:rsidR="00780B75">
        <w:rPr>
          <w:lang w:val="en-US"/>
        </w:rPr>
        <w:t>based on</w:t>
      </w:r>
      <w:r w:rsidR="009155FC">
        <w:t xml:space="preserve"> his work as evangelical </w:t>
      </w:r>
      <w:r w:rsidR="00780B75">
        <w:rPr>
          <w:lang w:val="en-US"/>
        </w:rPr>
        <w:t>m</w:t>
      </w:r>
      <w:r w:rsidR="009155FC">
        <w:t xml:space="preserve">inister and organizer/fundraiser for his own charitable organization </w:t>
      </w:r>
      <w:r w:rsidR="00B6019E">
        <w:t>was an aggravating factor</w:t>
      </w:r>
      <w:r w:rsidR="00F86080">
        <w:t>. In addition,</w:t>
      </w:r>
      <w:r w:rsidR="00B6019E">
        <w:t xml:space="preserve"> </w:t>
      </w:r>
      <w:r w:rsidR="009155FC">
        <w:t xml:space="preserve">he had been involved in more than one extramarital relationship which </w:t>
      </w:r>
      <w:r w:rsidR="00C23B14">
        <w:t xml:space="preserve">had ended </w:t>
      </w:r>
      <w:r w:rsidR="00780B75">
        <w:rPr>
          <w:lang w:val="en-US"/>
        </w:rPr>
        <w:t>his</w:t>
      </w:r>
      <w:r w:rsidR="00C23B14">
        <w:t xml:space="preserve"> signing a peace bond preventing him from contacting the </w:t>
      </w:r>
      <w:r w:rsidR="00C23B14" w:rsidRPr="0022782E">
        <w:t>women</w:t>
      </w:r>
      <w:r w:rsidR="002506EE">
        <w:t xml:space="preserve"> in question. Furthermore</w:t>
      </w:r>
      <w:r w:rsidR="00B6019E">
        <w:t xml:space="preserve">, </w:t>
      </w:r>
      <w:r w:rsidR="00C23B14">
        <w:t xml:space="preserve">he had flouted the immigration laws on more than one occasion by the manner in which he </w:t>
      </w:r>
      <w:r w:rsidR="00780B75">
        <w:rPr>
          <w:lang w:val="en-US"/>
        </w:rPr>
        <w:t xml:space="preserve">had </w:t>
      </w:r>
      <w:r w:rsidR="00C23B14">
        <w:t xml:space="preserve">entered the State party and by failing to comply with various </w:t>
      </w:r>
      <w:r w:rsidR="00780B75">
        <w:rPr>
          <w:lang w:val="en-US"/>
        </w:rPr>
        <w:t>Canada Border Services Agency</w:t>
      </w:r>
      <w:r w:rsidR="00780B75">
        <w:t xml:space="preserve"> </w:t>
      </w:r>
      <w:r w:rsidR="00C23B14">
        <w:t>removal</w:t>
      </w:r>
      <w:r w:rsidR="00780B75">
        <w:rPr>
          <w:lang w:val="en-US"/>
        </w:rPr>
        <w:t xml:space="preserve"> </w:t>
      </w:r>
      <w:r w:rsidR="00C02DF6">
        <w:rPr>
          <w:lang w:val="en-US"/>
        </w:rPr>
        <w:t>orders</w:t>
      </w:r>
      <w:r w:rsidR="00C23B14">
        <w:t xml:space="preserve"> as well as the term</w:t>
      </w:r>
      <w:r w:rsidR="00780B75">
        <w:rPr>
          <w:lang w:val="en-US"/>
        </w:rPr>
        <w:t>s</w:t>
      </w:r>
      <w:r w:rsidR="00C23B14">
        <w:t xml:space="preserve"> and conditions of release imposed upon him. </w:t>
      </w:r>
    </w:p>
    <w:p w:rsidR="00C27BF5" w:rsidRPr="009B3268" w:rsidRDefault="00321847" w:rsidP="00A818CB">
      <w:pPr>
        <w:pStyle w:val="SingleTxtG"/>
        <w:rPr>
          <w:lang w:val="en-US"/>
        </w:rPr>
      </w:pPr>
      <w:r>
        <w:t>2.17</w:t>
      </w:r>
      <w:r w:rsidR="003964CB">
        <w:tab/>
      </w:r>
      <w:r w:rsidR="00C27BF5">
        <w:t xml:space="preserve">As to the author’s allegations </w:t>
      </w:r>
      <w:r w:rsidR="00D60BA2">
        <w:t>about the difficult</w:t>
      </w:r>
      <w:r w:rsidR="00C02DF6">
        <w:rPr>
          <w:lang w:val="en-US"/>
        </w:rPr>
        <w:t>y</w:t>
      </w:r>
      <w:r w:rsidR="00D60BA2">
        <w:t xml:space="preserve"> </w:t>
      </w:r>
      <w:r w:rsidR="00C02DF6">
        <w:rPr>
          <w:lang w:val="en-US"/>
        </w:rPr>
        <w:t>of accessing antiretroviral medications</w:t>
      </w:r>
      <w:r w:rsidR="00D60BA2">
        <w:t xml:space="preserve"> in Zimbabwe</w:t>
      </w:r>
      <w:r w:rsidR="003964CB">
        <w:t xml:space="preserve">, </w:t>
      </w:r>
      <w:r w:rsidR="00C02DF6">
        <w:rPr>
          <w:lang w:val="en-US"/>
        </w:rPr>
        <w:t>Citizenship and Immigration Canada</w:t>
      </w:r>
      <w:r w:rsidR="00C02DF6">
        <w:t xml:space="preserve"> </w:t>
      </w:r>
      <w:r w:rsidR="00C27BF5">
        <w:t xml:space="preserve">stated that </w:t>
      </w:r>
      <w:r w:rsidR="00D60BA2">
        <w:t xml:space="preserve">according to information provided by </w:t>
      </w:r>
      <w:r w:rsidR="00C27BF5">
        <w:t xml:space="preserve">medical </w:t>
      </w:r>
      <w:r w:rsidR="00C27BF5" w:rsidRPr="00A818CB">
        <w:t>practitioners</w:t>
      </w:r>
      <w:r w:rsidR="00C27BF5">
        <w:t xml:space="preserve"> </w:t>
      </w:r>
      <w:r w:rsidR="0022782E">
        <w:t>in Zimbabwe</w:t>
      </w:r>
      <w:r w:rsidR="0022782E">
        <w:rPr>
          <w:lang w:val="en-US"/>
        </w:rPr>
        <w:t xml:space="preserve"> </w:t>
      </w:r>
      <w:r w:rsidR="00C02DF6">
        <w:rPr>
          <w:lang w:val="en-US"/>
        </w:rPr>
        <w:t>designated by Canada</w:t>
      </w:r>
      <w:r w:rsidR="00C27BF5">
        <w:t xml:space="preserve">, </w:t>
      </w:r>
      <w:r w:rsidR="00C02DF6">
        <w:rPr>
          <w:lang w:val="en-US"/>
        </w:rPr>
        <w:t>such medications were</w:t>
      </w:r>
      <w:r w:rsidR="00C27BF5">
        <w:t xml:space="preserve"> available at pharmacies in the main cities</w:t>
      </w:r>
      <w:r w:rsidR="00C02DF6">
        <w:rPr>
          <w:lang w:val="en-US"/>
        </w:rPr>
        <w:t>; it</w:t>
      </w:r>
      <w:r w:rsidR="00C27BF5">
        <w:t xml:space="preserve"> </w:t>
      </w:r>
      <w:r w:rsidR="00C02DF6">
        <w:rPr>
          <w:lang w:val="en-US"/>
        </w:rPr>
        <w:t>was</w:t>
      </w:r>
      <w:r w:rsidR="00C02DF6">
        <w:t xml:space="preserve"> </w:t>
      </w:r>
      <w:r w:rsidR="00C27BF5">
        <w:t>not difficult to have th</w:t>
      </w:r>
      <w:r w:rsidR="00D60BA2">
        <w:t>em delivered to the rural areas</w:t>
      </w:r>
      <w:r w:rsidR="00C02DF6">
        <w:rPr>
          <w:lang w:val="en-US"/>
        </w:rPr>
        <w:t>;</w:t>
      </w:r>
      <w:r w:rsidR="00D60BA2">
        <w:t xml:space="preserve"> their</w:t>
      </w:r>
      <w:r w:rsidR="00C27BF5">
        <w:t xml:space="preserve"> average price was </w:t>
      </w:r>
      <w:r w:rsidR="00C27BF5" w:rsidRPr="00C02DF6">
        <w:t>US</w:t>
      </w:r>
      <w:r w:rsidR="00C02DF6">
        <w:rPr>
          <w:lang w:val="en-US"/>
        </w:rPr>
        <w:t>$</w:t>
      </w:r>
      <w:r w:rsidR="00C27BF5" w:rsidRPr="00C02DF6">
        <w:t xml:space="preserve"> 30</w:t>
      </w:r>
      <w:r w:rsidR="00C27BF5">
        <w:t xml:space="preserve"> per month</w:t>
      </w:r>
      <w:r w:rsidR="00C02DF6">
        <w:rPr>
          <w:lang w:val="en-US"/>
        </w:rPr>
        <w:t xml:space="preserve">; </w:t>
      </w:r>
      <w:r w:rsidR="00C27BF5">
        <w:t xml:space="preserve">and a number of institutions offered </w:t>
      </w:r>
      <w:r w:rsidR="00C02DF6">
        <w:rPr>
          <w:lang w:val="en-US"/>
        </w:rPr>
        <w:t xml:space="preserve">the </w:t>
      </w:r>
      <w:r w:rsidR="00C27BF5">
        <w:t>medication</w:t>
      </w:r>
      <w:r w:rsidR="00D60BA2">
        <w:t xml:space="preserve"> for free</w:t>
      </w:r>
      <w:r w:rsidR="00A818CB" w:rsidRPr="00EF7D62">
        <w:rPr>
          <w:lang w:val="en-GB"/>
        </w:rPr>
        <w:t>.</w:t>
      </w:r>
      <w:r w:rsidR="00C27BF5">
        <w:t xml:space="preserve"> </w:t>
      </w:r>
      <w:r w:rsidR="003964CB">
        <w:t>It</w:t>
      </w:r>
      <w:r w:rsidR="00C27BF5">
        <w:t xml:space="preserve"> also pointed out that as the author was an able-bodied, educated person, he should be able to access the treatment he needed in Zimbabwe. Finally, </w:t>
      </w:r>
      <w:r w:rsidR="003964CB">
        <w:t>it</w:t>
      </w:r>
      <w:r w:rsidR="00C27BF5">
        <w:t xml:space="preserve"> highlighted that the author had not </w:t>
      </w:r>
      <w:r w:rsidR="00C02DF6">
        <w:rPr>
          <w:lang w:val="en-US"/>
        </w:rPr>
        <w:t xml:space="preserve">yet </w:t>
      </w:r>
      <w:r w:rsidR="00C27BF5">
        <w:t xml:space="preserve">taken any </w:t>
      </w:r>
      <w:r w:rsidR="00C02DF6">
        <w:rPr>
          <w:lang w:val="en-US"/>
        </w:rPr>
        <w:t>antiretroviral medications</w:t>
      </w:r>
      <w:r w:rsidR="00C02DF6" w:rsidDel="00C02DF6">
        <w:t xml:space="preserve"> </w:t>
      </w:r>
      <w:r w:rsidR="00C02DF6">
        <w:rPr>
          <w:lang w:val="en-US"/>
        </w:rPr>
        <w:t xml:space="preserve">so that there would be no adverse </w:t>
      </w:r>
      <w:r w:rsidR="00C27BF5">
        <w:t xml:space="preserve">effect to his health </w:t>
      </w:r>
      <w:r w:rsidR="00C02DF6">
        <w:rPr>
          <w:lang w:val="en-US"/>
        </w:rPr>
        <w:t>owing</w:t>
      </w:r>
      <w:r w:rsidR="00C27BF5">
        <w:t xml:space="preserve"> to removal from Canada</w:t>
      </w:r>
      <w:r w:rsidR="0022782E">
        <w:rPr>
          <w:lang w:val="en-US"/>
        </w:rPr>
        <w:t xml:space="preserve"> and interruption of a medication regime</w:t>
      </w:r>
      <w:r w:rsidR="00C27BF5">
        <w:t>.</w:t>
      </w:r>
      <w:r w:rsidR="0022782E">
        <w:rPr>
          <w:lang w:val="en-US"/>
        </w:rPr>
        <w:t xml:space="preserve"> </w:t>
      </w:r>
    </w:p>
    <w:p w:rsidR="00160DD7" w:rsidRPr="009B3268" w:rsidRDefault="00321847" w:rsidP="00A818CB">
      <w:pPr>
        <w:pStyle w:val="SingleTxtG"/>
        <w:rPr>
          <w:lang w:val="en-US"/>
        </w:rPr>
      </w:pPr>
      <w:r>
        <w:t>2.18</w:t>
      </w:r>
      <w:r w:rsidR="003964CB">
        <w:tab/>
      </w:r>
      <w:r w:rsidR="00C02DF6">
        <w:rPr>
          <w:lang w:val="en-US"/>
        </w:rPr>
        <w:t>Citizenship and Immigration Canada</w:t>
      </w:r>
      <w:r w:rsidR="00C02DF6">
        <w:t xml:space="preserve"> </w:t>
      </w:r>
      <w:r w:rsidR="00C02DF6">
        <w:rPr>
          <w:lang w:val="en-US"/>
        </w:rPr>
        <w:t>acknowledged</w:t>
      </w:r>
      <w:r w:rsidR="00C27BF5">
        <w:t xml:space="preserve"> that </w:t>
      </w:r>
      <w:r w:rsidR="00160DD7">
        <w:t>the separation of the author from his wife and children would be a significant hardship for him and his family in Canada. However, given his periods of incarceration</w:t>
      </w:r>
      <w:r w:rsidR="00C02DF6">
        <w:rPr>
          <w:lang w:val="en-US"/>
        </w:rPr>
        <w:t xml:space="preserve"> and</w:t>
      </w:r>
      <w:r w:rsidR="00160DD7">
        <w:t xml:space="preserve"> immigration detention and his temporary relocation to Calgary in 2004</w:t>
      </w:r>
      <w:r w:rsidR="00C02DF6">
        <w:rPr>
          <w:lang w:val="en-US"/>
        </w:rPr>
        <w:t>/</w:t>
      </w:r>
      <w:r w:rsidR="00160DD7">
        <w:t>05 and periods of detention</w:t>
      </w:r>
      <w:r w:rsidR="00C02DF6">
        <w:rPr>
          <w:lang w:val="en-US"/>
        </w:rPr>
        <w:t xml:space="preserve"> there</w:t>
      </w:r>
      <w:r w:rsidR="00160DD7">
        <w:t xml:space="preserve">, he had been separated from his children for fairly lengthy periods of time, particularly in the </w:t>
      </w:r>
      <w:r w:rsidR="00C02DF6">
        <w:rPr>
          <w:lang w:val="en-US"/>
        </w:rPr>
        <w:t>three</w:t>
      </w:r>
      <w:r w:rsidR="00160DD7">
        <w:t xml:space="preserve"> years prior to </w:t>
      </w:r>
      <w:r w:rsidR="00C75BEA">
        <w:rPr>
          <w:lang w:val="en-US"/>
        </w:rPr>
        <w:t>its</w:t>
      </w:r>
      <w:r w:rsidR="00C75BEA">
        <w:t xml:space="preserve"> </w:t>
      </w:r>
      <w:r w:rsidR="00160DD7">
        <w:t>decision. Thus, any subsequent involuntary separati</w:t>
      </w:r>
      <w:r w:rsidR="003964CB">
        <w:t xml:space="preserve">on from </w:t>
      </w:r>
      <w:r w:rsidR="00CC6284">
        <w:t>them</w:t>
      </w:r>
      <w:r w:rsidR="003964CB">
        <w:t xml:space="preserve"> would</w:t>
      </w:r>
      <w:r w:rsidR="00160DD7">
        <w:t xml:space="preserve"> be a continuation of the </w:t>
      </w:r>
      <w:r w:rsidR="00C02DF6">
        <w:rPr>
          <w:lang w:val="en-US"/>
        </w:rPr>
        <w:t xml:space="preserve">current </w:t>
      </w:r>
      <w:r w:rsidR="00160DD7">
        <w:t xml:space="preserve">state of affairs. </w:t>
      </w:r>
      <w:r w:rsidR="003964CB">
        <w:t xml:space="preserve">It </w:t>
      </w:r>
      <w:r w:rsidR="00160DD7">
        <w:t xml:space="preserve">further </w:t>
      </w:r>
      <w:r w:rsidR="00836E45">
        <w:t>noted</w:t>
      </w:r>
      <w:r w:rsidR="00160DD7">
        <w:t xml:space="preserve"> that </w:t>
      </w:r>
      <w:r w:rsidR="001D400E" w:rsidRPr="005E798E">
        <w:t>as a result of the</w:t>
      </w:r>
      <w:r w:rsidR="001D400E">
        <w:t xml:space="preserve"> author’s and his wife’s</w:t>
      </w:r>
      <w:r w:rsidR="001D400E" w:rsidRPr="005E798E">
        <w:t xml:space="preserve"> incarceration, the Durham Children’s Aid Society</w:t>
      </w:r>
      <w:r w:rsidR="00C02DF6">
        <w:rPr>
          <w:lang w:val="en-US"/>
        </w:rPr>
        <w:t xml:space="preserve"> had </w:t>
      </w:r>
      <w:r w:rsidR="001D400E" w:rsidRPr="005E798E">
        <w:t>removed their</w:t>
      </w:r>
      <w:r w:rsidR="002506EE">
        <w:t xml:space="preserve"> children and placed them in</w:t>
      </w:r>
      <w:r w:rsidR="001D400E" w:rsidRPr="005E798E">
        <w:t xml:space="preserve"> foster care</w:t>
      </w:r>
      <w:r w:rsidR="001D400E">
        <w:t>; that in</w:t>
      </w:r>
      <w:r w:rsidR="001D400E" w:rsidRPr="005E798E">
        <w:t xml:space="preserve"> September 2007 t</w:t>
      </w:r>
      <w:r w:rsidR="001D400E">
        <w:t>he children were returned to his wife</w:t>
      </w:r>
      <w:r w:rsidR="00C02DF6">
        <w:rPr>
          <w:lang w:val="en-US"/>
        </w:rPr>
        <w:t>’s</w:t>
      </w:r>
      <w:r w:rsidR="001D400E" w:rsidRPr="005E798E">
        <w:t xml:space="preserve"> care, </w:t>
      </w:r>
      <w:r w:rsidR="001D400E">
        <w:t xml:space="preserve">under </w:t>
      </w:r>
      <w:r w:rsidR="00C02DF6">
        <w:rPr>
          <w:lang w:val="en-US"/>
        </w:rPr>
        <w:t xml:space="preserve">the </w:t>
      </w:r>
      <w:r w:rsidR="001D400E" w:rsidRPr="005E798E">
        <w:t>supervision</w:t>
      </w:r>
      <w:r w:rsidR="00C02DF6">
        <w:rPr>
          <w:lang w:val="en-US"/>
        </w:rPr>
        <w:t xml:space="preserve"> of the Society</w:t>
      </w:r>
      <w:r w:rsidR="001D400E">
        <w:t xml:space="preserve">; and that </w:t>
      </w:r>
      <w:r w:rsidR="003964CB">
        <w:t>she</w:t>
      </w:r>
      <w:r w:rsidR="00C02DF6">
        <w:rPr>
          <w:lang w:val="en-US"/>
        </w:rPr>
        <w:t xml:space="preserve"> had</w:t>
      </w:r>
      <w:r w:rsidR="00160DD7">
        <w:t xml:space="preserve"> raised the children on her own and was able to gain the </w:t>
      </w:r>
      <w:r w:rsidR="00C02DF6">
        <w:rPr>
          <w:lang w:val="en-US"/>
        </w:rPr>
        <w:t xml:space="preserve">Society’s </w:t>
      </w:r>
      <w:r w:rsidR="00160DD7">
        <w:t>confidence, which indicated that she had the requisite abilities to care for her children as a single</w:t>
      </w:r>
      <w:r w:rsidR="00C02DF6">
        <w:rPr>
          <w:lang w:val="en-US"/>
        </w:rPr>
        <w:t xml:space="preserve"> </w:t>
      </w:r>
      <w:r w:rsidR="00160DD7">
        <w:t>parent.</w:t>
      </w:r>
      <w:r w:rsidR="00C02DF6">
        <w:rPr>
          <w:lang w:val="en-US"/>
        </w:rPr>
        <w:t xml:space="preserve"> </w:t>
      </w:r>
    </w:p>
    <w:p w:rsidR="00617BC6" w:rsidRPr="009B3268" w:rsidRDefault="00321847" w:rsidP="00A818CB">
      <w:pPr>
        <w:pStyle w:val="SingleTxtG"/>
        <w:rPr>
          <w:lang w:val="en-US"/>
        </w:rPr>
      </w:pPr>
      <w:r>
        <w:t>2.19</w:t>
      </w:r>
      <w:r w:rsidR="003964CB">
        <w:tab/>
      </w:r>
      <w:r w:rsidR="00617BC6">
        <w:t xml:space="preserve">As to the situation in Zimbabwe, </w:t>
      </w:r>
      <w:r w:rsidR="00C02DF6">
        <w:rPr>
          <w:lang w:val="en-US"/>
        </w:rPr>
        <w:t>Citizenship and Immigration Canada</w:t>
      </w:r>
      <w:r w:rsidR="00C02DF6">
        <w:t xml:space="preserve"> </w:t>
      </w:r>
      <w:r w:rsidR="00617BC6">
        <w:t xml:space="preserve">noted that according to recent information </w:t>
      </w:r>
      <w:r w:rsidR="00C02DF6">
        <w:rPr>
          <w:lang w:val="en-US"/>
        </w:rPr>
        <w:t>i</w:t>
      </w:r>
      <w:r w:rsidR="00617BC6">
        <w:t xml:space="preserve">n the public domain, the humanitarian </w:t>
      </w:r>
      <w:r w:rsidR="00CC6284">
        <w:t xml:space="preserve">and economic </w:t>
      </w:r>
      <w:r w:rsidR="00617BC6">
        <w:t>cris</w:t>
      </w:r>
      <w:r w:rsidR="00C02DF6">
        <w:rPr>
          <w:lang w:val="en-US"/>
        </w:rPr>
        <w:t>e</w:t>
      </w:r>
      <w:r w:rsidR="00617BC6">
        <w:t xml:space="preserve">s in Zimbabwe </w:t>
      </w:r>
      <w:r w:rsidR="00C02DF6">
        <w:rPr>
          <w:lang w:val="en-US"/>
        </w:rPr>
        <w:t>were</w:t>
      </w:r>
      <w:r w:rsidR="00C02DF6">
        <w:t xml:space="preserve"> </w:t>
      </w:r>
      <w:r w:rsidR="00617BC6">
        <w:t>under</w:t>
      </w:r>
      <w:r w:rsidR="00CC6284">
        <w:t xml:space="preserve"> control and drawing to a close;</w:t>
      </w:r>
      <w:r w:rsidR="00617BC6" w:rsidRPr="009B3268">
        <w:rPr>
          <w:rStyle w:val="FootnoteReference"/>
        </w:rPr>
        <w:footnoteReference w:id="5"/>
      </w:r>
      <w:r w:rsidR="00617BC6">
        <w:t xml:space="preserve"> </w:t>
      </w:r>
      <w:r w:rsidR="00CC6284">
        <w:t xml:space="preserve">that </w:t>
      </w:r>
      <w:r w:rsidR="00617BC6">
        <w:t xml:space="preserve">the author had not explained why he could be subject to mistreatment </w:t>
      </w:r>
      <w:r w:rsidR="00C02DF6">
        <w:rPr>
          <w:lang w:val="en-US"/>
        </w:rPr>
        <w:t>because of</w:t>
      </w:r>
      <w:r w:rsidR="00617BC6">
        <w:t xml:space="preserve"> his </w:t>
      </w:r>
      <w:r w:rsidR="00B7086C">
        <w:rPr>
          <w:lang w:val="en-US"/>
        </w:rPr>
        <w:t>status</w:t>
      </w:r>
      <w:r w:rsidR="00B7086C">
        <w:t xml:space="preserve"> </w:t>
      </w:r>
      <w:r w:rsidR="00617BC6">
        <w:t xml:space="preserve">as </w:t>
      </w:r>
      <w:r w:rsidR="00C02DF6">
        <w:rPr>
          <w:lang w:val="en-US"/>
        </w:rPr>
        <w:t xml:space="preserve">a </w:t>
      </w:r>
      <w:r w:rsidR="00617BC6">
        <w:t>failed</w:t>
      </w:r>
      <w:r w:rsidR="00CC6284">
        <w:t xml:space="preserve"> asylum</w:t>
      </w:r>
      <w:r w:rsidR="00C02DF6">
        <w:rPr>
          <w:lang w:val="en-US"/>
        </w:rPr>
        <w:t xml:space="preserve"> </w:t>
      </w:r>
      <w:r w:rsidR="00CC6284">
        <w:t xml:space="preserve">seeker and </w:t>
      </w:r>
      <w:r w:rsidR="00B7086C">
        <w:rPr>
          <w:lang w:val="en-US"/>
        </w:rPr>
        <w:t xml:space="preserve">being </w:t>
      </w:r>
      <w:r w:rsidR="00CC6284">
        <w:t>HIV</w:t>
      </w:r>
      <w:r w:rsidR="005C1329">
        <w:rPr>
          <w:lang w:val="en-US"/>
        </w:rPr>
        <w:t>-</w:t>
      </w:r>
      <w:r w:rsidR="00CC6284">
        <w:t>positive;</w:t>
      </w:r>
      <w:r w:rsidR="00617BC6">
        <w:t xml:space="preserve"> </w:t>
      </w:r>
      <w:r w:rsidR="00CC6284">
        <w:t xml:space="preserve">that </w:t>
      </w:r>
      <w:r w:rsidR="00617BC6">
        <w:t>no recent information indicated that failed asylum</w:t>
      </w:r>
      <w:r w:rsidR="00B7086C">
        <w:rPr>
          <w:lang w:val="en-US"/>
        </w:rPr>
        <w:t xml:space="preserve"> </w:t>
      </w:r>
      <w:r w:rsidR="00617BC6">
        <w:t xml:space="preserve">seekers could face </w:t>
      </w:r>
      <w:r w:rsidR="00CC6284">
        <w:t>problem</w:t>
      </w:r>
      <w:r w:rsidR="00B7086C">
        <w:rPr>
          <w:lang w:val="en-US"/>
        </w:rPr>
        <w:t>s</w:t>
      </w:r>
      <w:r w:rsidR="00CC6284">
        <w:t xml:space="preserve"> upon return to Zimbabwe;</w:t>
      </w:r>
      <w:r w:rsidR="00617BC6" w:rsidRPr="009B3268">
        <w:rPr>
          <w:rStyle w:val="FootnoteReference"/>
        </w:rPr>
        <w:footnoteReference w:id="6"/>
      </w:r>
      <w:r w:rsidR="00617BC6">
        <w:t xml:space="preserve"> </w:t>
      </w:r>
      <w:r w:rsidR="00CC6284">
        <w:t>and that</w:t>
      </w:r>
      <w:r w:rsidR="00617BC6">
        <w:t xml:space="preserve"> although HIV/AIDS continue</w:t>
      </w:r>
      <w:r w:rsidR="00B7086C">
        <w:rPr>
          <w:lang w:val="en-US"/>
        </w:rPr>
        <w:t>d</w:t>
      </w:r>
      <w:r w:rsidR="00617BC6">
        <w:t xml:space="preserve"> to carry a stigma which might lead to discrimination in Zimbabwe, </w:t>
      </w:r>
      <w:r w:rsidR="00B7086C">
        <w:rPr>
          <w:lang w:val="en-US"/>
        </w:rPr>
        <w:t>that</w:t>
      </w:r>
      <w:r w:rsidR="00B7086C">
        <w:t xml:space="preserve"> </w:t>
      </w:r>
      <w:r w:rsidR="00617BC6">
        <w:t>did not mean that HIV</w:t>
      </w:r>
      <w:r w:rsidR="00B7086C">
        <w:rPr>
          <w:lang w:val="en-US"/>
        </w:rPr>
        <w:t>-</w:t>
      </w:r>
      <w:r w:rsidR="00617BC6">
        <w:t xml:space="preserve"> positive </w:t>
      </w:r>
      <w:r w:rsidR="00B7086C">
        <w:rPr>
          <w:lang w:val="en-US"/>
        </w:rPr>
        <w:t xml:space="preserve">persons </w:t>
      </w:r>
      <w:r w:rsidR="00617BC6">
        <w:t>would be mistreated.</w:t>
      </w:r>
      <w:r w:rsidR="00617BC6" w:rsidRPr="009B3268">
        <w:rPr>
          <w:rStyle w:val="FootnoteReference"/>
        </w:rPr>
        <w:footnoteReference w:id="7"/>
      </w:r>
      <w:r w:rsidR="00617BC6">
        <w:t xml:space="preserve"> </w:t>
      </w:r>
      <w:r w:rsidR="00C02DF6">
        <w:rPr>
          <w:lang w:val="en-US"/>
        </w:rPr>
        <w:t xml:space="preserve"> </w:t>
      </w:r>
    </w:p>
    <w:p w:rsidR="001F493D" w:rsidRPr="00EF7D62" w:rsidRDefault="00321847" w:rsidP="00C213F2">
      <w:pPr>
        <w:pStyle w:val="SingleTxtG"/>
        <w:rPr>
          <w:lang w:val="en-GB"/>
        </w:rPr>
      </w:pPr>
      <w:r>
        <w:t>2.20</w:t>
      </w:r>
      <w:r w:rsidR="00E81357">
        <w:tab/>
      </w:r>
      <w:r w:rsidR="001F493D">
        <w:t xml:space="preserve">On 6 January 2010, the author submitted an application for leave and judicial review </w:t>
      </w:r>
      <w:r w:rsidR="00B7086C">
        <w:rPr>
          <w:lang w:val="en-US"/>
        </w:rPr>
        <w:t>of</w:t>
      </w:r>
      <w:r w:rsidR="00B7086C">
        <w:t xml:space="preserve"> </w:t>
      </w:r>
      <w:r w:rsidR="001F493D">
        <w:t xml:space="preserve">the refusal of his </w:t>
      </w:r>
      <w:r w:rsidR="00E958AB">
        <w:t>humanitarian and compassionate</w:t>
      </w:r>
      <w:r w:rsidR="001F493D">
        <w:t xml:space="preserve"> application before the Federal Court, which was dismissed on 4 May 2010</w:t>
      </w:r>
      <w:r w:rsidR="00980DAF">
        <w:t>.</w:t>
      </w:r>
    </w:p>
    <w:p w:rsidR="001F493D" w:rsidRPr="003832DC" w:rsidRDefault="001F493D" w:rsidP="001F493D">
      <w:pPr>
        <w:pStyle w:val="H23G"/>
        <w:spacing w:line="240" w:lineRule="auto"/>
      </w:pPr>
      <w:r w:rsidRPr="003832DC">
        <w:rPr>
          <w:color w:val="FF0000"/>
        </w:rPr>
        <w:lastRenderedPageBreak/>
        <w:tab/>
      </w:r>
      <w:r w:rsidRPr="003832DC">
        <w:tab/>
        <w:t>The complaint</w:t>
      </w:r>
    </w:p>
    <w:p w:rsidR="001F493D" w:rsidRDefault="001F493D" w:rsidP="00C213F2">
      <w:pPr>
        <w:pStyle w:val="SingleTxtG"/>
      </w:pPr>
      <w:r>
        <w:t>3.1</w:t>
      </w:r>
      <w:r w:rsidRPr="003832DC">
        <w:tab/>
      </w:r>
      <w:r w:rsidRPr="00CD0F7B">
        <w:t>The aut</w:t>
      </w:r>
      <w:r>
        <w:t>hor</w:t>
      </w:r>
      <w:r w:rsidR="002506EE">
        <w:t xml:space="preserve"> claim</w:t>
      </w:r>
      <w:r w:rsidR="00CD22C8">
        <w:rPr>
          <w:lang w:val="en-US"/>
        </w:rPr>
        <w:t>ed</w:t>
      </w:r>
      <w:r w:rsidRPr="00CD0F7B">
        <w:t xml:space="preserve"> that </w:t>
      </w:r>
      <w:r>
        <w:t>his removal to Zimbabwe would constitute a violation of</w:t>
      </w:r>
      <w:r w:rsidR="00672CFD">
        <w:t xml:space="preserve"> </w:t>
      </w:r>
      <w:r>
        <w:t>his rights under articles 2</w:t>
      </w:r>
      <w:r w:rsidR="00B7086C">
        <w:rPr>
          <w:lang w:val="en-US"/>
        </w:rPr>
        <w:t xml:space="preserve"> </w:t>
      </w:r>
      <w:r>
        <w:t>(3), 6</w:t>
      </w:r>
      <w:r w:rsidR="00B7086C">
        <w:rPr>
          <w:lang w:val="en-US"/>
        </w:rPr>
        <w:t xml:space="preserve"> </w:t>
      </w:r>
      <w:r>
        <w:t>(1), 7, 17 and 23</w:t>
      </w:r>
      <w:r w:rsidR="00B7086C">
        <w:rPr>
          <w:lang w:val="en-US"/>
        </w:rPr>
        <w:t xml:space="preserve"> </w:t>
      </w:r>
      <w:r>
        <w:t xml:space="preserve">(1), of the Covenant. </w:t>
      </w:r>
    </w:p>
    <w:p w:rsidR="001F493D" w:rsidRDefault="00A818CB" w:rsidP="00C213F2">
      <w:pPr>
        <w:pStyle w:val="SingleTxtG"/>
      </w:pPr>
      <w:r>
        <w:t>3.2</w:t>
      </w:r>
      <w:r w:rsidR="001F493D">
        <w:tab/>
        <w:t>The author claim</w:t>
      </w:r>
      <w:r w:rsidR="00CD22C8">
        <w:rPr>
          <w:lang w:val="en-US"/>
        </w:rPr>
        <w:t>ed</w:t>
      </w:r>
      <w:r w:rsidR="001F493D">
        <w:t xml:space="preserve"> that </w:t>
      </w:r>
      <w:r w:rsidR="00B7086C">
        <w:rPr>
          <w:lang w:val="en-US"/>
        </w:rPr>
        <w:t xml:space="preserve">his life </w:t>
      </w:r>
      <w:r w:rsidR="001F493D">
        <w:t xml:space="preserve">would be at risk and </w:t>
      </w:r>
      <w:r w:rsidR="00B7086C">
        <w:rPr>
          <w:lang w:val="en-US"/>
        </w:rPr>
        <w:t>that he would</w:t>
      </w:r>
      <w:r w:rsidR="00B7086C">
        <w:t xml:space="preserve"> </w:t>
      </w:r>
      <w:r w:rsidR="002506EE">
        <w:t>be subjected to</w:t>
      </w:r>
      <w:r w:rsidR="001F493D">
        <w:t xml:space="preserve"> torture or other cruel, inhuman or degrading </w:t>
      </w:r>
      <w:r w:rsidR="00B7086C">
        <w:rPr>
          <w:lang w:val="en-US"/>
        </w:rPr>
        <w:t xml:space="preserve">treatment </w:t>
      </w:r>
      <w:r w:rsidR="002506EE">
        <w:t xml:space="preserve">or </w:t>
      </w:r>
      <w:r w:rsidR="001F493D">
        <w:t xml:space="preserve">punishment if </w:t>
      </w:r>
      <w:r w:rsidR="00B7086C">
        <w:rPr>
          <w:lang w:val="en-US"/>
        </w:rPr>
        <w:t xml:space="preserve">he were </w:t>
      </w:r>
      <w:r w:rsidR="001F493D">
        <w:t>returned to his country of origin, in violation of articles 6</w:t>
      </w:r>
      <w:r w:rsidR="00B7086C">
        <w:rPr>
          <w:lang w:val="en-US"/>
        </w:rPr>
        <w:t xml:space="preserve"> </w:t>
      </w:r>
      <w:r w:rsidR="001F493D">
        <w:t xml:space="preserve">(1) and 7 of the Covenant. </w:t>
      </w:r>
      <w:r w:rsidR="00967CB9">
        <w:t>He</w:t>
      </w:r>
      <w:r w:rsidR="001F493D">
        <w:t xml:space="preserve"> is HIV and Mantoux positive. According </w:t>
      </w:r>
      <w:r w:rsidR="00322A22">
        <w:t>to a letter</w:t>
      </w:r>
      <w:r w:rsidR="001F493D">
        <w:t xml:space="preserve"> </w:t>
      </w:r>
      <w:r w:rsidR="00B7086C">
        <w:rPr>
          <w:lang w:val="en-US"/>
        </w:rPr>
        <w:t>from</w:t>
      </w:r>
      <w:r w:rsidR="001F493D">
        <w:t xml:space="preserve"> </w:t>
      </w:r>
      <w:r w:rsidR="009D76AF">
        <w:t xml:space="preserve">a </w:t>
      </w:r>
      <w:r w:rsidR="001F493D">
        <w:t xml:space="preserve">doctor dated 27 April 2011, in Canada </w:t>
      </w:r>
      <w:r w:rsidR="00B7086C">
        <w:rPr>
          <w:lang w:val="en-US"/>
        </w:rPr>
        <w:t>the author</w:t>
      </w:r>
      <w:r w:rsidR="00B7086C">
        <w:t xml:space="preserve"> </w:t>
      </w:r>
      <w:r w:rsidR="001F493D">
        <w:t>would receive medical treatment for HIV immediately whereas in Zimbabwe</w:t>
      </w:r>
      <w:r w:rsidR="00B7086C">
        <w:rPr>
          <w:lang w:val="en-US"/>
        </w:rPr>
        <w:t>,</w:t>
      </w:r>
      <w:r w:rsidR="001F493D">
        <w:t xml:space="preserve"> he would not receive any treatment until </w:t>
      </w:r>
      <w:r w:rsidR="00B7086C">
        <w:rPr>
          <w:lang w:val="en-US"/>
        </w:rPr>
        <w:t xml:space="preserve">the virus was at </w:t>
      </w:r>
      <w:r w:rsidR="001F493D">
        <w:t xml:space="preserve">a later stage. He would </w:t>
      </w:r>
      <w:r w:rsidR="00B7086C">
        <w:rPr>
          <w:lang w:val="en-US"/>
        </w:rPr>
        <w:t>also receive treatment for</w:t>
      </w:r>
      <w:r w:rsidR="001F493D">
        <w:t xml:space="preserve"> tuberculosis, which was difficult to access in Zimbabwe.</w:t>
      </w:r>
      <w:r w:rsidR="00322A22">
        <w:t xml:space="preserve"> </w:t>
      </w:r>
      <w:r w:rsidR="009D76AF">
        <w:t>He further claim</w:t>
      </w:r>
      <w:r w:rsidR="00CD22C8">
        <w:rPr>
          <w:lang w:val="en-US"/>
        </w:rPr>
        <w:t>ed</w:t>
      </w:r>
      <w:r w:rsidR="009D76AF">
        <w:t xml:space="preserve"> that he would not be able to access or afford the </w:t>
      </w:r>
      <w:r w:rsidR="00B7086C">
        <w:rPr>
          <w:lang w:val="en-US"/>
        </w:rPr>
        <w:t>antiretroviral treatment</w:t>
      </w:r>
      <w:r w:rsidR="00B7086C">
        <w:t xml:space="preserve"> </w:t>
      </w:r>
      <w:r w:rsidR="009D76AF">
        <w:t>he need</w:t>
      </w:r>
      <w:r w:rsidR="00CD22C8">
        <w:rPr>
          <w:lang w:val="en-US"/>
        </w:rPr>
        <w:t>ed</w:t>
      </w:r>
      <w:r w:rsidR="009D76AF">
        <w:t xml:space="preserve">. He </w:t>
      </w:r>
      <w:r w:rsidR="00CD22C8">
        <w:rPr>
          <w:lang w:val="en-US"/>
        </w:rPr>
        <w:t>would</w:t>
      </w:r>
      <w:r w:rsidR="00CD22C8">
        <w:t xml:space="preserve"> </w:t>
      </w:r>
      <w:r w:rsidR="009D76AF">
        <w:t xml:space="preserve">not have any governmental or family support, </w:t>
      </w:r>
      <w:r w:rsidR="00CD22C8">
        <w:rPr>
          <w:lang w:val="en-US"/>
        </w:rPr>
        <w:t>would</w:t>
      </w:r>
      <w:r w:rsidR="00B7086C">
        <w:t xml:space="preserve"> </w:t>
      </w:r>
      <w:r w:rsidR="009D76AF">
        <w:t xml:space="preserve">likely be unemployed, and </w:t>
      </w:r>
      <w:r w:rsidR="00CD22C8">
        <w:rPr>
          <w:lang w:val="en-US"/>
        </w:rPr>
        <w:t>would</w:t>
      </w:r>
      <w:r w:rsidR="00CD22C8">
        <w:t xml:space="preserve"> </w:t>
      </w:r>
      <w:r w:rsidR="009D76AF">
        <w:t xml:space="preserve">not </w:t>
      </w:r>
      <w:r w:rsidR="00D546DD">
        <w:t xml:space="preserve">have </w:t>
      </w:r>
      <w:r w:rsidR="009D76AF">
        <w:t xml:space="preserve">access to basic needs, including food. </w:t>
      </w:r>
      <w:r w:rsidR="00EC4E67">
        <w:t>Against this background, the author claim</w:t>
      </w:r>
      <w:r w:rsidR="00CD22C8">
        <w:rPr>
          <w:lang w:val="en-US"/>
        </w:rPr>
        <w:t>ed</w:t>
      </w:r>
      <w:r w:rsidR="00EC4E67">
        <w:t xml:space="preserve"> that his life would be at serious risk if </w:t>
      </w:r>
      <w:r w:rsidR="00B7086C">
        <w:rPr>
          <w:lang w:val="en-US"/>
        </w:rPr>
        <w:t xml:space="preserve">he were </w:t>
      </w:r>
      <w:r w:rsidR="00EC4E67">
        <w:t xml:space="preserve">returned to Zimbabwe. </w:t>
      </w:r>
    </w:p>
    <w:p w:rsidR="00F44C5F" w:rsidRDefault="00A818CB" w:rsidP="00C213F2">
      <w:pPr>
        <w:pStyle w:val="SingleTxtG"/>
      </w:pPr>
      <w:r>
        <w:t>3.3</w:t>
      </w:r>
      <w:r w:rsidR="00566E43">
        <w:tab/>
      </w:r>
      <w:r w:rsidR="00B7086C">
        <w:rPr>
          <w:lang w:val="en-US"/>
        </w:rPr>
        <w:t xml:space="preserve">The </w:t>
      </w:r>
      <w:r w:rsidR="00CC6B5D">
        <w:t xml:space="preserve">HIV/AIDS rate </w:t>
      </w:r>
      <w:r w:rsidR="00B7086C">
        <w:rPr>
          <w:lang w:val="en-US"/>
        </w:rPr>
        <w:t xml:space="preserve">in Zimbabwe </w:t>
      </w:r>
      <w:r w:rsidR="00CC6B5D">
        <w:t>is one of the highest in the world</w:t>
      </w:r>
      <w:r w:rsidR="00B7086C">
        <w:rPr>
          <w:lang w:val="en-US"/>
        </w:rPr>
        <w:t>; the country</w:t>
      </w:r>
      <w:r w:rsidR="00CC6B5D">
        <w:t xml:space="preserve"> </w:t>
      </w:r>
      <w:r w:rsidR="0021193C">
        <w:t>has more people living with AIDS without access to treatment than any other country.</w:t>
      </w:r>
      <w:r w:rsidR="004E52E1" w:rsidRPr="009B3268">
        <w:rPr>
          <w:rStyle w:val="FootnoteReference"/>
        </w:rPr>
        <w:footnoteReference w:id="8"/>
      </w:r>
      <w:r w:rsidR="00672CFD">
        <w:t xml:space="preserve"> </w:t>
      </w:r>
      <w:r w:rsidR="007875FA">
        <w:t>By the end of 2009, less than 50</w:t>
      </w:r>
      <w:r w:rsidR="00B7086C">
        <w:rPr>
          <w:lang w:val="en-US"/>
        </w:rPr>
        <w:t xml:space="preserve"> per cent</w:t>
      </w:r>
      <w:r w:rsidR="007875FA">
        <w:t xml:space="preserve"> of people living with HIV </w:t>
      </w:r>
      <w:r w:rsidR="00B7086C">
        <w:rPr>
          <w:lang w:val="en-US"/>
        </w:rPr>
        <w:t xml:space="preserve">who </w:t>
      </w:r>
      <w:r w:rsidR="00B7086C">
        <w:t>require</w:t>
      </w:r>
      <w:r w:rsidR="00B7086C">
        <w:rPr>
          <w:lang w:val="en-US"/>
        </w:rPr>
        <w:t xml:space="preserve"> a</w:t>
      </w:r>
      <w:r w:rsidR="007875FA">
        <w:t>nti</w:t>
      </w:r>
      <w:r w:rsidR="00B7086C">
        <w:rPr>
          <w:lang w:val="en-US"/>
        </w:rPr>
        <w:t>r</w:t>
      </w:r>
      <w:r w:rsidR="007875FA">
        <w:t xml:space="preserve">etroviral </w:t>
      </w:r>
      <w:r w:rsidR="00B7086C">
        <w:rPr>
          <w:lang w:val="en-US"/>
        </w:rPr>
        <w:t>t</w:t>
      </w:r>
      <w:r w:rsidR="007875FA">
        <w:t>herapy had access to it.</w:t>
      </w:r>
      <w:r w:rsidR="007875FA" w:rsidRPr="009B3268">
        <w:rPr>
          <w:rStyle w:val="FootnoteReference"/>
        </w:rPr>
        <w:footnoteReference w:id="9"/>
      </w:r>
      <w:r w:rsidR="007875FA">
        <w:t xml:space="preserve"> </w:t>
      </w:r>
      <w:r w:rsidR="00E93E11">
        <w:t xml:space="preserve">Access to </w:t>
      </w:r>
      <w:r w:rsidR="00B7086C">
        <w:rPr>
          <w:lang w:val="en-US"/>
        </w:rPr>
        <w:t>the treatment</w:t>
      </w:r>
      <w:r w:rsidR="00B7086C">
        <w:t xml:space="preserve"> </w:t>
      </w:r>
      <w:r w:rsidR="00E93E11">
        <w:t xml:space="preserve">is often affected </w:t>
      </w:r>
      <w:r w:rsidR="00B7086C">
        <w:rPr>
          <w:lang w:val="en-US"/>
        </w:rPr>
        <w:t>by</w:t>
      </w:r>
      <w:r w:rsidR="00B7086C">
        <w:t xml:space="preserve"> </w:t>
      </w:r>
      <w:r w:rsidR="00E93E11">
        <w:t xml:space="preserve">corruption. </w:t>
      </w:r>
      <w:r w:rsidR="007875FA">
        <w:t xml:space="preserve">Since antiretroviral drug supplies are irregular, physicians switch patients on established </w:t>
      </w:r>
      <w:r w:rsidR="00B7086C">
        <w:rPr>
          <w:lang w:val="en-US"/>
        </w:rPr>
        <w:t>a</w:t>
      </w:r>
      <w:r w:rsidR="00B7086C">
        <w:t>nti</w:t>
      </w:r>
      <w:r w:rsidR="00B7086C">
        <w:rPr>
          <w:lang w:val="en-US"/>
        </w:rPr>
        <w:t>r</w:t>
      </w:r>
      <w:r w:rsidR="00B7086C">
        <w:t xml:space="preserve">etroviral </w:t>
      </w:r>
      <w:r w:rsidR="007875FA">
        <w:t xml:space="preserve">regimens to other regimens </w:t>
      </w:r>
      <w:r w:rsidR="00B7086C">
        <w:rPr>
          <w:lang w:val="en-US"/>
        </w:rPr>
        <w:t xml:space="preserve">on the basis </w:t>
      </w:r>
      <w:r w:rsidR="007875FA">
        <w:t>not o</w:t>
      </w:r>
      <w:r w:rsidR="00B7086C">
        <w:rPr>
          <w:lang w:val="en-US"/>
        </w:rPr>
        <w:t>f</w:t>
      </w:r>
      <w:r w:rsidR="007875FA">
        <w:t xml:space="preserve"> clinical need, but on drug availability.</w:t>
      </w:r>
      <w:r w:rsidR="00327CAB" w:rsidRPr="009B3268">
        <w:rPr>
          <w:rStyle w:val="FootnoteReference"/>
        </w:rPr>
        <w:footnoteReference w:id="10"/>
      </w:r>
      <w:r w:rsidR="007875FA">
        <w:t xml:space="preserve"> </w:t>
      </w:r>
      <w:r w:rsidR="00DA0843">
        <w:t>Health facilities have severe shortage</w:t>
      </w:r>
      <w:r w:rsidR="00B7086C">
        <w:rPr>
          <w:lang w:val="en-US"/>
        </w:rPr>
        <w:t>s</w:t>
      </w:r>
      <w:r w:rsidR="00DA0843">
        <w:t xml:space="preserve"> of lab</w:t>
      </w:r>
      <w:r w:rsidR="00B7086C">
        <w:rPr>
          <w:lang w:val="en-US"/>
        </w:rPr>
        <w:t>oratory</w:t>
      </w:r>
      <w:r w:rsidR="00DA0843">
        <w:t xml:space="preserve"> supplies and equipment </w:t>
      </w:r>
      <w:r w:rsidR="00B7086C">
        <w:rPr>
          <w:lang w:val="en-US"/>
        </w:rPr>
        <w:t>that</w:t>
      </w:r>
      <w:r w:rsidR="00B7086C">
        <w:t xml:space="preserve"> </w:t>
      </w:r>
      <w:r w:rsidR="00DA0843">
        <w:t xml:space="preserve">are essential for </w:t>
      </w:r>
      <w:r w:rsidR="0022782E">
        <w:rPr>
          <w:lang w:val="en-US"/>
        </w:rPr>
        <w:t xml:space="preserve">the </w:t>
      </w:r>
      <w:r w:rsidR="00DA0843">
        <w:t xml:space="preserve">provision of quality HIV/AIDS </w:t>
      </w:r>
      <w:r w:rsidR="00DA0843" w:rsidRPr="00C23C3D">
        <w:t>service.</w:t>
      </w:r>
      <w:r w:rsidR="00DA0843" w:rsidRPr="009B3268">
        <w:rPr>
          <w:rStyle w:val="FootnoteReference"/>
        </w:rPr>
        <w:footnoteReference w:id="11"/>
      </w:r>
      <w:r w:rsidR="007875FA" w:rsidRPr="00C23C3D">
        <w:t xml:space="preserve"> </w:t>
      </w:r>
      <w:r w:rsidR="00740C89" w:rsidRPr="00C23C3D">
        <w:t xml:space="preserve">There is little support </w:t>
      </w:r>
      <w:r w:rsidR="00B7086C">
        <w:rPr>
          <w:lang w:val="en-US"/>
        </w:rPr>
        <w:t>for</w:t>
      </w:r>
      <w:r w:rsidR="00B7086C" w:rsidRPr="00C23C3D">
        <w:t xml:space="preserve"> </w:t>
      </w:r>
      <w:r w:rsidR="00740C89" w:rsidRPr="00C23C3D">
        <w:t>pers</w:t>
      </w:r>
      <w:r w:rsidR="008319EC" w:rsidRPr="00C23C3D">
        <w:t xml:space="preserve">ons who are </w:t>
      </w:r>
      <w:r w:rsidR="008319EC" w:rsidRPr="005C1329">
        <w:t>HIV</w:t>
      </w:r>
      <w:r w:rsidR="00DB4C2A" w:rsidRPr="005C1329">
        <w:rPr>
          <w:lang w:val="en-US"/>
        </w:rPr>
        <w:t>-</w:t>
      </w:r>
      <w:r w:rsidR="008319EC" w:rsidRPr="005C1329">
        <w:t xml:space="preserve">positive </w:t>
      </w:r>
      <w:r w:rsidR="008319EC" w:rsidRPr="00C23C3D">
        <w:t>in terms of couns</w:t>
      </w:r>
      <w:r w:rsidR="00EC164A">
        <w:t>elling and social support.</w:t>
      </w:r>
      <w:r w:rsidR="00740C89" w:rsidRPr="00C23C3D">
        <w:t xml:space="preserve"> </w:t>
      </w:r>
      <w:r w:rsidR="008319EC" w:rsidRPr="00C23C3D">
        <w:t xml:space="preserve">Likewise, there is no adequate support </w:t>
      </w:r>
      <w:r w:rsidR="00B7086C">
        <w:rPr>
          <w:lang w:val="en-US"/>
        </w:rPr>
        <w:t>for</w:t>
      </w:r>
      <w:r w:rsidR="00B7086C" w:rsidRPr="00C23C3D">
        <w:t xml:space="preserve"> </w:t>
      </w:r>
      <w:r w:rsidR="008319EC" w:rsidRPr="00C23C3D">
        <w:t xml:space="preserve">these persons in terms of nutrition, access to clean water and other relevant </w:t>
      </w:r>
      <w:r w:rsidR="00B7086C">
        <w:rPr>
          <w:lang w:val="en-US"/>
        </w:rPr>
        <w:t xml:space="preserve">health </w:t>
      </w:r>
      <w:r w:rsidR="008319EC" w:rsidRPr="00C23C3D">
        <w:t>factors.</w:t>
      </w:r>
      <w:r w:rsidR="0047076A" w:rsidRPr="00C23C3D">
        <w:t xml:space="preserve"> </w:t>
      </w:r>
      <w:r w:rsidR="00B7086C">
        <w:rPr>
          <w:lang w:val="en-US"/>
        </w:rPr>
        <w:t>Because of their</w:t>
      </w:r>
      <w:r w:rsidR="0047076A" w:rsidRPr="00C23C3D">
        <w:t xml:space="preserve"> high </w:t>
      </w:r>
      <w:r w:rsidR="00B7086C">
        <w:rPr>
          <w:lang w:val="en-US"/>
        </w:rPr>
        <w:t>price</w:t>
      </w:r>
      <w:r w:rsidR="0047076A" w:rsidRPr="00C23C3D">
        <w:t xml:space="preserve">, most </w:t>
      </w:r>
      <w:r w:rsidR="00B7086C">
        <w:rPr>
          <w:lang w:val="en-US"/>
        </w:rPr>
        <w:t>people</w:t>
      </w:r>
      <w:r w:rsidR="00B7086C" w:rsidRPr="00C23C3D">
        <w:t xml:space="preserve"> </w:t>
      </w:r>
      <w:r w:rsidR="0047076A" w:rsidRPr="00C23C3D">
        <w:t xml:space="preserve">in Zimbabwe </w:t>
      </w:r>
      <w:r w:rsidR="00843C8F" w:rsidRPr="00C23C3D">
        <w:t>cannot access</w:t>
      </w:r>
      <w:r w:rsidR="002506EE">
        <w:t xml:space="preserve"> </w:t>
      </w:r>
      <w:r w:rsidR="0047076A" w:rsidRPr="00C23C3D">
        <w:t>HIV treatment through private institutions</w:t>
      </w:r>
      <w:r w:rsidR="00F44C5F" w:rsidRPr="00C23C3D">
        <w:t xml:space="preserve">, since </w:t>
      </w:r>
      <w:r w:rsidR="00D85E44">
        <w:rPr>
          <w:lang w:val="en-US"/>
        </w:rPr>
        <w:t>that</w:t>
      </w:r>
      <w:r w:rsidR="00D85E44" w:rsidRPr="00C23C3D">
        <w:t xml:space="preserve"> </w:t>
      </w:r>
      <w:r w:rsidR="00F44C5F" w:rsidRPr="00C23C3D">
        <w:t xml:space="preserve">would </w:t>
      </w:r>
      <w:r w:rsidR="00D85E44">
        <w:rPr>
          <w:lang w:val="en-US"/>
        </w:rPr>
        <w:t>cost</w:t>
      </w:r>
      <w:r w:rsidR="00F44C5F" w:rsidRPr="00C23C3D">
        <w:t xml:space="preserve"> at least </w:t>
      </w:r>
      <w:r w:rsidR="00D85E44">
        <w:rPr>
          <w:lang w:val="en-US"/>
        </w:rPr>
        <w:t xml:space="preserve">US$ </w:t>
      </w:r>
      <w:r w:rsidR="00F44C5F" w:rsidRPr="00D85E44">
        <w:t xml:space="preserve">100 </w:t>
      </w:r>
      <w:r w:rsidR="00D85E44">
        <w:rPr>
          <w:lang w:val="en-US"/>
        </w:rPr>
        <w:t xml:space="preserve">a </w:t>
      </w:r>
      <w:r w:rsidR="00F44C5F" w:rsidRPr="00C23C3D">
        <w:t>month.</w:t>
      </w:r>
      <w:r w:rsidR="00672CFD">
        <w:t xml:space="preserve"> </w:t>
      </w:r>
    </w:p>
    <w:p w:rsidR="00706D31" w:rsidRDefault="00A818CB" w:rsidP="00C213F2">
      <w:pPr>
        <w:pStyle w:val="SingleTxtG"/>
      </w:pPr>
      <w:r>
        <w:t>3.4</w:t>
      </w:r>
      <w:r w:rsidR="00EC164A">
        <w:tab/>
        <w:t>The author claim</w:t>
      </w:r>
      <w:r w:rsidR="00CD22C8">
        <w:rPr>
          <w:lang w:val="en-US"/>
        </w:rPr>
        <w:t>ed</w:t>
      </w:r>
      <w:r w:rsidR="00706D31">
        <w:t xml:space="preserve"> that he would be perceived as</w:t>
      </w:r>
      <w:r w:rsidR="00335AB1">
        <w:t xml:space="preserve"> a</w:t>
      </w:r>
      <w:r w:rsidR="00D85E44">
        <w:rPr>
          <w:lang w:val="en-US"/>
        </w:rPr>
        <w:t>n</w:t>
      </w:r>
      <w:r w:rsidR="00335AB1">
        <w:t xml:space="preserve"> </w:t>
      </w:r>
      <w:r w:rsidR="00D85E44">
        <w:rPr>
          <w:lang w:val="en-US"/>
        </w:rPr>
        <w:t>opponent of</w:t>
      </w:r>
      <w:r w:rsidR="00335AB1">
        <w:t xml:space="preserve"> the </w:t>
      </w:r>
      <w:r w:rsidR="00D85E44">
        <w:rPr>
          <w:lang w:val="en-US"/>
        </w:rPr>
        <w:t>G</w:t>
      </w:r>
      <w:r w:rsidR="00706D31">
        <w:t>overnment and thus be targeted by the authorities</w:t>
      </w:r>
      <w:r w:rsidR="00335AB1">
        <w:t xml:space="preserve"> in Zimbabwe. He argue</w:t>
      </w:r>
      <w:r w:rsidR="00CD22C8">
        <w:rPr>
          <w:lang w:val="en-US"/>
        </w:rPr>
        <w:t>d</w:t>
      </w:r>
      <w:r w:rsidR="00335AB1">
        <w:t xml:space="preserve"> that </w:t>
      </w:r>
      <w:r w:rsidR="00821535">
        <w:t xml:space="preserve">he would be </w:t>
      </w:r>
      <w:r w:rsidR="00335AB1">
        <w:t xml:space="preserve">interrogated </w:t>
      </w:r>
      <w:r w:rsidR="00821535">
        <w:t>by the authorities upon arrival and that</w:t>
      </w:r>
      <w:r w:rsidR="00EC164A">
        <w:t xml:space="preserve"> members of the security forces and</w:t>
      </w:r>
      <w:r w:rsidR="00892FF2">
        <w:t xml:space="preserve"> the former ruling party, </w:t>
      </w:r>
      <w:r w:rsidR="00E958AB">
        <w:rPr>
          <w:bCs/>
        </w:rPr>
        <w:t>Zimbabwe African National Union Patriotic Front</w:t>
      </w:r>
      <w:r w:rsidR="00D85E44">
        <w:rPr>
          <w:lang w:val="en-US"/>
        </w:rPr>
        <w:t xml:space="preserve">, </w:t>
      </w:r>
      <w:r w:rsidR="00CD22C8">
        <w:rPr>
          <w:lang w:val="en-US"/>
        </w:rPr>
        <w:t>would</w:t>
      </w:r>
      <w:r w:rsidR="00EC164A">
        <w:t xml:space="preserve"> </w:t>
      </w:r>
      <w:r w:rsidR="00892FF2">
        <w:t>continue to commit human rights violations, incl</w:t>
      </w:r>
      <w:r w:rsidR="00976800">
        <w:t>uding arbitrary arrest, torture</w:t>
      </w:r>
      <w:r w:rsidR="00892FF2">
        <w:t xml:space="preserve"> and killing</w:t>
      </w:r>
      <w:r w:rsidR="00EC164A">
        <w:t>, against</w:t>
      </w:r>
      <w:r w:rsidR="00892FF2">
        <w:t xml:space="preserve"> members and supporter</w:t>
      </w:r>
      <w:r w:rsidR="00EC164A">
        <w:t>s of former opposition parties</w:t>
      </w:r>
      <w:r w:rsidR="00892FF2">
        <w:t xml:space="preserve"> </w:t>
      </w:r>
      <w:r w:rsidR="00821535">
        <w:t xml:space="preserve">such as </w:t>
      </w:r>
      <w:r w:rsidR="00892FF2">
        <w:t xml:space="preserve">the Movement for Democratic Change and those critical of </w:t>
      </w:r>
      <w:r w:rsidR="00E958AB">
        <w:rPr>
          <w:lang w:val="en-US"/>
        </w:rPr>
        <w:t>Front</w:t>
      </w:r>
      <w:r w:rsidR="00892FF2">
        <w:t>.</w:t>
      </w:r>
      <w:r w:rsidR="00892FF2" w:rsidRPr="009B3268">
        <w:rPr>
          <w:rStyle w:val="FootnoteReference"/>
        </w:rPr>
        <w:footnoteReference w:id="12"/>
      </w:r>
    </w:p>
    <w:p w:rsidR="006A13F4" w:rsidRPr="00706D31" w:rsidRDefault="00A818CB" w:rsidP="00C213F2">
      <w:pPr>
        <w:pStyle w:val="SingleTxtG"/>
      </w:pPr>
      <w:r>
        <w:t>3.5</w:t>
      </w:r>
      <w:r w:rsidR="00892FF2">
        <w:tab/>
        <w:t xml:space="preserve">His removal to Zimbabwe would also constitute an arbitrary or unlawful interference </w:t>
      </w:r>
      <w:r w:rsidR="00D85E44">
        <w:rPr>
          <w:lang w:val="en-US"/>
        </w:rPr>
        <w:t>in</w:t>
      </w:r>
      <w:r w:rsidR="00D85E44">
        <w:t xml:space="preserve"> </w:t>
      </w:r>
      <w:r w:rsidR="00892FF2">
        <w:t xml:space="preserve">his family and a violation of his rights under articles 17 and 23 of the Covenant </w:t>
      </w:r>
      <w:r w:rsidR="00D85E44">
        <w:rPr>
          <w:lang w:val="en-US"/>
        </w:rPr>
        <w:t>as</w:t>
      </w:r>
      <w:r w:rsidR="00D85E44">
        <w:t xml:space="preserve"> </w:t>
      </w:r>
      <w:r w:rsidR="00892FF2">
        <w:t xml:space="preserve">he would be </w:t>
      </w:r>
      <w:r w:rsidR="006F7F46">
        <w:t>separated from</w:t>
      </w:r>
      <w:r w:rsidR="00892FF2">
        <w:t xml:space="preserve"> his wife and </w:t>
      </w:r>
      <w:r w:rsidR="00892FF2" w:rsidRPr="00E76490">
        <w:t>children</w:t>
      </w:r>
      <w:r w:rsidR="00D85E44">
        <w:rPr>
          <w:lang w:val="en-US"/>
        </w:rPr>
        <w:t>,</w:t>
      </w:r>
      <w:r w:rsidR="00892FF2" w:rsidRPr="00E76490">
        <w:t xml:space="preserve"> who </w:t>
      </w:r>
      <w:r w:rsidR="00CD22C8">
        <w:rPr>
          <w:lang w:val="en-US"/>
        </w:rPr>
        <w:t>would</w:t>
      </w:r>
      <w:r w:rsidR="00CD22C8" w:rsidRPr="00E76490">
        <w:t xml:space="preserve"> </w:t>
      </w:r>
      <w:r w:rsidR="00892FF2" w:rsidRPr="00E76490">
        <w:t>remain in Canada</w:t>
      </w:r>
      <w:r w:rsidR="00892FF2">
        <w:t>.</w:t>
      </w:r>
      <w:r w:rsidR="006F7F46">
        <w:t xml:space="preserve"> </w:t>
      </w:r>
      <w:r w:rsidR="00CD22C8">
        <w:rPr>
          <w:lang w:val="en-US"/>
        </w:rPr>
        <w:t>That</w:t>
      </w:r>
      <w:r w:rsidR="00CD22C8">
        <w:t xml:space="preserve"> </w:t>
      </w:r>
      <w:r w:rsidR="009A4B9C">
        <w:t xml:space="preserve">situation </w:t>
      </w:r>
      <w:r w:rsidR="00CD22C8">
        <w:rPr>
          <w:lang w:val="en-US"/>
        </w:rPr>
        <w:t>would cause</w:t>
      </w:r>
      <w:r w:rsidR="00CD22C8">
        <w:t xml:space="preserve"> </w:t>
      </w:r>
      <w:r w:rsidR="004A2AD5">
        <w:t>him great anguish</w:t>
      </w:r>
      <w:r w:rsidR="00A01DCD">
        <w:t>. He claim</w:t>
      </w:r>
      <w:r w:rsidR="00CD22C8">
        <w:rPr>
          <w:lang w:val="en-US"/>
        </w:rPr>
        <w:t>ed</w:t>
      </w:r>
      <w:r w:rsidR="00A01DCD">
        <w:t xml:space="preserve"> that he ha</w:t>
      </w:r>
      <w:r w:rsidR="00CD22C8">
        <w:rPr>
          <w:lang w:val="en-US"/>
        </w:rPr>
        <w:t>d</w:t>
      </w:r>
      <w:r w:rsidR="00A01DCD">
        <w:t xml:space="preserve"> been actively involved as a husband and father and that his family need</w:t>
      </w:r>
      <w:r w:rsidR="00CD22C8">
        <w:rPr>
          <w:lang w:val="en-US"/>
        </w:rPr>
        <w:t>ed</w:t>
      </w:r>
      <w:r w:rsidR="00A01DCD">
        <w:t xml:space="preserve"> his presence. Since he and his wife </w:t>
      </w:r>
      <w:r w:rsidR="00CD22C8">
        <w:rPr>
          <w:lang w:val="en-US"/>
        </w:rPr>
        <w:t>were</w:t>
      </w:r>
      <w:r w:rsidR="00CD22C8">
        <w:t xml:space="preserve"> </w:t>
      </w:r>
      <w:r w:rsidR="00A01DCD">
        <w:lastRenderedPageBreak/>
        <w:t>HIV</w:t>
      </w:r>
      <w:r w:rsidR="005C1329">
        <w:rPr>
          <w:lang w:val="en-US"/>
        </w:rPr>
        <w:t>-</w:t>
      </w:r>
      <w:r w:rsidR="00A01DCD">
        <w:t xml:space="preserve">positive and their </w:t>
      </w:r>
      <w:r w:rsidR="00D85E44">
        <w:rPr>
          <w:lang w:val="en-US"/>
        </w:rPr>
        <w:t xml:space="preserve">future </w:t>
      </w:r>
      <w:r w:rsidR="00A01DCD">
        <w:t xml:space="preserve">health conditions </w:t>
      </w:r>
      <w:r w:rsidR="00CD22C8">
        <w:rPr>
          <w:lang w:val="en-US"/>
        </w:rPr>
        <w:t>were</w:t>
      </w:r>
      <w:r w:rsidR="00CD22C8">
        <w:t xml:space="preserve"> </w:t>
      </w:r>
      <w:r w:rsidR="00A01DCD">
        <w:t>uncertain, their children need</w:t>
      </w:r>
      <w:r w:rsidR="00CD22C8">
        <w:rPr>
          <w:lang w:val="en-US"/>
        </w:rPr>
        <w:t>ed</w:t>
      </w:r>
      <w:r w:rsidR="00A01DCD">
        <w:t xml:space="preserve"> them to provide </w:t>
      </w:r>
      <w:r w:rsidR="00D85E44">
        <w:rPr>
          <w:lang w:val="en-US"/>
        </w:rPr>
        <w:t xml:space="preserve">a </w:t>
      </w:r>
      <w:r w:rsidR="00A01DCD">
        <w:t xml:space="preserve">greater possibility of stable parenting, in particular if one of them </w:t>
      </w:r>
      <w:r w:rsidR="00CD22C8">
        <w:rPr>
          <w:lang w:val="en-US"/>
        </w:rPr>
        <w:t>became</w:t>
      </w:r>
      <w:r w:rsidR="00CD22C8">
        <w:t xml:space="preserve"> </w:t>
      </w:r>
      <w:r w:rsidR="00A01DCD">
        <w:t>ill or die</w:t>
      </w:r>
      <w:r w:rsidR="00CD22C8">
        <w:rPr>
          <w:lang w:val="en-US"/>
        </w:rPr>
        <w:t>d</w:t>
      </w:r>
      <w:r w:rsidR="00A01DCD">
        <w:t xml:space="preserve">. Further, since his wife and one daughter </w:t>
      </w:r>
      <w:r w:rsidR="00CD22C8">
        <w:rPr>
          <w:lang w:val="en-US"/>
        </w:rPr>
        <w:t>were</w:t>
      </w:r>
      <w:r w:rsidR="00CD22C8">
        <w:t xml:space="preserve"> </w:t>
      </w:r>
      <w:r w:rsidR="00A01DCD">
        <w:t>also HIV</w:t>
      </w:r>
      <w:r w:rsidR="005C1329">
        <w:rPr>
          <w:lang w:val="en-US"/>
        </w:rPr>
        <w:t>-</w:t>
      </w:r>
      <w:r w:rsidR="00A01DCD">
        <w:t xml:space="preserve">positive, they would need to remain in Canada to receive medical treatment. Therefore, it </w:t>
      </w:r>
      <w:r w:rsidR="00CD22C8">
        <w:rPr>
          <w:lang w:val="en-US"/>
        </w:rPr>
        <w:t>was</w:t>
      </w:r>
      <w:r w:rsidR="00CD22C8">
        <w:t xml:space="preserve"> </w:t>
      </w:r>
      <w:r w:rsidR="00A01DCD">
        <w:t>unlikely that his wife and children would visit him in Zimbabwe. Finally, he claim</w:t>
      </w:r>
      <w:r w:rsidR="00CD22C8">
        <w:rPr>
          <w:lang w:val="en-US"/>
        </w:rPr>
        <w:t>ed</w:t>
      </w:r>
      <w:r w:rsidR="00A01DCD">
        <w:t xml:space="preserve"> that </w:t>
      </w:r>
      <w:r w:rsidR="00D85E44">
        <w:rPr>
          <w:lang w:val="en-US"/>
        </w:rPr>
        <w:t>his</w:t>
      </w:r>
      <w:r w:rsidR="00D85E44">
        <w:t xml:space="preserve"> </w:t>
      </w:r>
      <w:r w:rsidR="00A01DCD">
        <w:t xml:space="preserve">criminal convictions </w:t>
      </w:r>
      <w:r w:rsidR="00D85E44">
        <w:rPr>
          <w:lang w:val="en-US"/>
        </w:rPr>
        <w:t>were</w:t>
      </w:r>
      <w:r w:rsidR="00A01DCD">
        <w:t xml:space="preserve"> all </w:t>
      </w:r>
      <w:r w:rsidR="00D85E44">
        <w:rPr>
          <w:lang w:val="en-US"/>
        </w:rPr>
        <w:t>for</w:t>
      </w:r>
      <w:r w:rsidR="00A01DCD">
        <w:t xml:space="preserve"> non-violent crimes and </w:t>
      </w:r>
      <w:r w:rsidR="00EC164A">
        <w:t xml:space="preserve">that </w:t>
      </w:r>
      <w:r w:rsidR="00A01DCD">
        <w:t xml:space="preserve">the longest sentence was 100 days. Against </w:t>
      </w:r>
      <w:r w:rsidR="00CD22C8">
        <w:rPr>
          <w:lang w:val="en-US"/>
        </w:rPr>
        <w:t>that</w:t>
      </w:r>
      <w:r w:rsidR="00CD22C8">
        <w:t xml:space="preserve"> </w:t>
      </w:r>
      <w:r w:rsidR="00A01DCD">
        <w:t xml:space="preserve">background, the decision to remove the author to his country of origin </w:t>
      </w:r>
      <w:r w:rsidR="00CD22C8">
        <w:rPr>
          <w:lang w:val="en-US"/>
        </w:rPr>
        <w:t>was</w:t>
      </w:r>
      <w:r w:rsidR="00CD22C8">
        <w:t xml:space="preserve"> </w:t>
      </w:r>
      <w:r w:rsidR="00A01DCD">
        <w:t>disproportionate to the State party’s aim of preventing criminal offences</w:t>
      </w:r>
      <w:r w:rsidRPr="00EF7D62">
        <w:rPr>
          <w:lang w:val="en-GB"/>
        </w:rPr>
        <w:t>.</w:t>
      </w:r>
      <w:r w:rsidR="00A01DCD" w:rsidRPr="009B3268">
        <w:rPr>
          <w:rStyle w:val="FootnoteReference"/>
        </w:rPr>
        <w:footnoteReference w:id="13"/>
      </w:r>
      <w:r w:rsidR="00672CFD">
        <w:t xml:space="preserve"> </w:t>
      </w:r>
    </w:p>
    <w:p w:rsidR="001F493D" w:rsidRPr="003832DC" w:rsidRDefault="001F493D" w:rsidP="001F493D">
      <w:pPr>
        <w:pStyle w:val="H23G"/>
        <w:spacing w:line="240" w:lineRule="auto"/>
      </w:pPr>
      <w:r w:rsidRPr="003832DC">
        <w:rPr>
          <w:b w:val="0"/>
          <w:color w:val="FF0000"/>
        </w:rPr>
        <w:tab/>
      </w:r>
      <w:r w:rsidRPr="003832DC">
        <w:rPr>
          <w:b w:val="0"/>
          <w:color w:val="FF0000"/>
        </w:rPr>
        <w:tab/>
      </w:r>
      <w:r w:rsidRPr="003832DC">
        <w:t xml:space="preserve">State party’s observations on admissibility and </w:t>
      </w:r>
      <w:r w:rsidR="006E5BD2" w:rsidRPr="00B94FB2">
        <w:t>the</w:t>
      </w:r>
      <w:r w:rsidR="006E5BD2" w:rsidRPr="003832DC">
        <w:t xml:space="preserve"> </w:t>
      </w:r>
      <w:r w:rsidRPr="003832DC">
        <w:t>merits</w:t>
      </w:r>
    </w:p>
    <w:p w:rsidR="00B63CF2" w:rsidRDefault="001F493D" w:rsidP="00DC0798">
      <w:pPr>
        <w:pStyle w:val="SingleTxtG"/>
        <w:rPr>
          <w:lang w:val="en-GB"/>
        </w:rPr>
      </w:pPr>
      <w:r w:rsidRPr="003832DC">
        <w:t>4.1</w:t>
      </w:r>
      <w:r w:rsidRPr="003832DC">
        <w:tab/>
      </w:r>
      <w:r w:rsidR="006E5BD2">
        <w:rPr>
          <w:lang w:val="en-US"/>
        </w:rPr>
        <w:t xml:space="preserve">In a </w:t>
      </w:r>
      <w:r w:rsidR="00C75BEA">
        <w:rPr>
          <w:lang w:val="en-US"/>
        </w:rPr>
        <w:t>note verbale</w:t>
      </w:r>
      <w:r w:rsidR="006E5BD2">
        <w:rPr>
          <w:lang w:val="en-US"/>
        </w:rPr>
        <w:t xml:space="preserve"> dated </w:t>
      </w:r>
      <w:r w:rsidR="00F27B52">
        <w:t xml:space="preserve">16 August 2011, </w:t>
      </w:r>
      <w:r w:rsidRPr="003832DC">
        <w:t xml:space="preserve">the State party provided </w:t>
      </w:r>
      <w:r w:rsidR="00B63CF2">
        <w:rPr>
          <w:lang w:val="en-US"/>
        </w:rPr>
        <w:t xml:space="preserve">its </w:t>
      </w:r>
      <w:r w:rsidRPr="003832DC">
        <w:t xml:space="preserve">observations on the admissibility and merits of the </w:t>
      </w:r>
      <w:r w:rsidRPr="00831620">
        <w:t xml:space="preserve">communication. It maintains that the communication should be declared inadmissible </w:t>
      </w:r>
      <w:r w:rsidR="00A65460">
        <w:rPr>
          <w:lang w:val="en-US"/>
        </w:rPr>
        <w:t xml:space="preserve">on the grounds </w:t>
      </w:r>
      <w:r w:rsidR="008D5206">
        <w:rPr>
          <w:lang w:val="en-US"/>
        </w:rPr>
        <w:t xml:space="preserve">that it was </w:t>
      </w:r>
      <w:r w:rsidR="008B5066">
        <w:t>incompatib</w:t>
      </w:r>
      <w:r w:rsidR="008D5206">
        <w:rPr>
          <w:lang w:val="en-US"/>
        </w:rPr>
        <w:t>le</w:t>
      </w:r>
      <w:r w:rsidR="008B5066">
        <w:t xml:space="preserve"> with the Covenant, </w:t>
      </w:r>
      <w:r w:rsidR="008D5206">
        <w:rPr>
          <w:lang w:val="en-US"/>
        </w:rPr>
        <w:t xml:space="preserve">the allegations had not been substantiated that </w:t>
      </w:r>
      <w:r w:rsidR="008B5066">
        <w:t>domestic remedies</w:t>
      </w:r>
      <w:r w:rsidR="008D5206">
        <w:rPr>
          <w:lang w:val="en-US"/>
        </w:rPr>
        <w:t xml:space="preserve"> had not been exhausted</w:t>
      </w:r>
      <w:r w:rsidRPr="00831620">
        <w:t xml:space="preserve">. Should the Committee declare the communication admissible, the State party maintains that </w:t>
      </w:r>
      <w:r w:rsidR="00CD22C8">
        <w:rPr>
          <w:lang w:val="en-US"/>
        </w:rPr>
        <w:t>the author’s removal to his country of origin would not be a violation of the Covenant.</w:t>
      </w:r>
    </w:p>
    <w:p w:rsidR="009058AB" w:rsidRPr="0069594F" w:rsidRDefault="00A818CB" w:rsidP="00C213F2">
      <w:pPr>
        <w:pStyle w:val="SingleTxtG"/>
        <w:rPr>
          <w:lang w:val="en-GB"/>
        </w:rPr>
      </w:pPr>
      <w:r>
        <w:rPr>
          <w:lang w:val="en-GB"/>
        </w:rPr>
        <w:t>4.2</w:t>
      </w:r>
      <w:r w:rsidR="008B5066" w:rsidRPr="008B5066">
        <w:rPr>
          <w:lang w:val="en-GB"/>
        </w:rPr>
        <w:tab/>
      </w:r>
      <w:r w:rsidR="00DB1315" w:rsidRPr="00DB1315">
        <w:rPr>
          <w:lang w:val="en-GB"/>
        </w:rPr>
        <w:t>The State party point</w:t>
      </w:r>
      <w:r w:rsidR="00B63CF2">
        <w:rPr>
          <w:lang w:val="en-GB"/>
        </w:rPr>
        <w:t>s</w:t>
      </w:r>
      <w:r w:rsidR="00DB1315" w:rsidRPr="00DB1315">
        <w:rPr>
          <w:lang w:val="en-GB"/>
        </w:rPr>
        <w:t xml:space="preserve"> out that s</w:t>
      </w:r>
      <w:r w:rsidR="00DB1315">
        <w:t xml:space="preserve">ince </w:t>
      </w:r>
      <w:r w:rsidR="00561DB8" w:rsidRPr="00561DB8">
        <w:rPr>
          <w:lang w:val="en-GB"/>
        </w:rPr>
        <w:t xml:space="preserve">his </w:t>
      </w:r>
      <w:r w:rsidR="00DB1315">
        <w:t>arriv</w:t>
      </w:r>
      <w:r w:rsidR="00561DB8" w:rsidRPr="00561DB8">
        <w:rPr>
          <w:lang w:val="en-GB"/>
        </w:rPr>
        <w:t>al</w:t>
      </w:r>
      <w:r w:rsidR="002506EE">
        <w:rPr>
          <w:lang w:val="en-GB"/>
        </w:rPr>
        <w:t xml:space="preserve"> in Canada</w:t>
      </w:r>
      <w:r w:rsidR="00DB1315">
        <w:t xml:space="preserve">, </w:t>
      </w:r>
      <w:r w:rsidR="00DB1315" w:rsidRPr="00DB1315">
        <w:rPr>
          <w:lang w:val="en-GB"/>
        </w:rPr>
        <w:t>the author</w:t>
      </w:r>
      <w:r w:rsidR="00DB1315">
        <w:t xml:space="preserve"> </w:t>
      </w:r>
      <w:r w:rsidR="008B5E92">
        <w:rPr>
          <w:lang w:val="en-US"/>
        </w:rPr>
        <w:t>has been</w:t>
      </w:r>
      <w:r w:rsidR="00DB1315">
        <w:t xml:space="preserve"> convicted of </w:t>
      </w:r>
      <w:r w:rsidR="008B5E92">
        <w:rPr>
          <w:lang w:val="en-US"/>
        </w:rPr>
        <w:t>11</w:t>
      </w:r>
      <w:r w:rsidR="008B5E92">
        <w:t xml:space="preserve"> </w:t>
      </w:r>
      <w:r w:rsidR="00DB1315">
        <w:t xml:space="preserve">criminal offences and </w:t>
      </w:r>
      <w:r w:rsidR="008B5E92">
        <w:rPr>
          <w:lang w:val="en-US"/>
        </w:rPr>
        <w:t>was</w:t>
      </w:r>
      <w:r w:rsidR="00DB1315">
        <w:t xml:space="preserve"> charged with many </w:t>
      </w:r>
      <w:r w:rsidR="008B5E92">
        <w:rPr>
          <w:lang w:val="en-US"/>
        </w:rPr>
        <w:t xml:space="preserve">more; </w:t>
      </w:r>
      <w:r w:rsidR="008B5E92">
        <w:rPr>
          <w:lang w:val="en-GB"/>
        </w:rPr>
        <w:t>m</w:t>
      </w:r>
      <w:r w:rsidR="00561DB8" w:rsidRPr="00106447">
        <w:t xml:space="preserve">any charges laid against </w:t>
      </w:r>
      <w:r w:rsidR="00561DB8" w:rsidRPr="008C3B5B">
        <w:rPr>
          <w:lang w:val="en-GB"/>
        </w:rPr>
        <w:t>him</w:t>
      </w:r>
      <w:r w:rsidR="00561DB8" w:rsidRPr="00106447">
        <w:t xml:space="preserve"> </w:t>
      </w:r>
      <w:r w:rsidR="00561DB8">
        <w:t>over the years for violent and non-violent offences</w:t>
      </w:r>
      <w:r w:rsidR="00561DB8" w:rsidRPr="00561DB8">
        <w:rPr>
          <w:lang w:val="en-GB"/>
        </w:rPr>
        <w:t xml:space="preserve"> (</w:t>
      </w:r>
      <w:r w:rsidR="00561DB8">
        <w:t>14 fraud-related charges and 8 assault charges</w:t>
      </w:r>
      <w:r w:rsidR="00561DB8" w:rsidRPr="00561DB8">
        <w:rPr>
          <w:lang w:val="en-GB"/>
        </w:rPr>
        <w:t>)</w:t>
      </w:r>
      <w:r w:rsidR="00561DB8" w:rsidRPr="00106447">
        <w:t xml:space="preserve"> were </w:t>
      </w:r>
      <w:r w:rsidR="00561DB8">
        <w:t xml:space="preserve">subsequently </w:t>
      </w:r>
      <w:r w:rsidR="00561DB8" w:rsidRPr="00106447">
        <w:t xml:space="preserve">withdrawn by </w:t>
      </w:r>
      <w:r w:rsidR="008B5E92">
        <w:rPr>
          <w:lang w:val="en-US"/>
        </w:rPr>
        <w:t xml:space="preserve">the </w:t>
      </w:r>
      <w:r w:rsidR="00561DB8" w:rsidRPr="00106447">
        <w:t>prosecuting attorney</w:t>
      </w:r>
      <w:r w:rsidR="00561DB8">
        <w:t>s</w:t>
      </w:r>
      <w:r w:rsidR="008B5E92">
        <w:rPr>
          <w:lang w:val="en-US"/>
        </w:rPr>
        <w:t xml:space="preserve"> and</w:t>
      </w:r>
      <w:r w:rsidR="00561DB8" w:rsidRPr="00106447">
        <w:t xml:space="preserve"> did not go to trial. While not proven in court, these charges illustrate the extent to which </w:t>
      </w:r>
      <w:r w:rsidR="00561DB8">
        <w:rPr>
          <w:lang w:val="en-GB"/>
        </w:rPr>
        <w:t>the author came</w:t>
      </w:r>
      <w:r w:rsidR="00561DB8" w:rsidRPr="00106447">
        <w:t xml:space="preserve"> into conflict with the</w:t>
      </w:r>
      <w:r w:rsidR="00561DB8" w:rsidRPr="000C5EDE">
        <w:rPr>
          <w:lang w:val="en-GB"/>
        </w:rPr>
        <w:t xml:space="preserve"> law</w:t>
      </w:r>
      <w:r w:rsidR="00561DB8">
        <w:t xml:space="preserve">. In particular, </w:t>
      </w:r>
      <w:r w:rsidR="00561DB8" w:rsidRPr="000C5EDE">
        <w:rPr>
          <w:lang w:val="en-GB"/>
        </w:rPr>
        <w:t>his</w:t>
      </w:r>
      <w:r w:rsidR="00561DB8">
        <w:t xml:space="preserve"> assault </w:t>
      </w:r>
      <w:r w:rsidR="00561DB8" w:rsidRPr="00106447">
        <w:t xml:space="preserve">charges were </w:t>
      </w:r>
      <w:r w:rsidR="00561DB8">
        <w:t>serious enough to</w:t>
      </w:r>
      <w:r w:rsidR="00561DB8" w:rsidRPr="00106447">
        <w:t xml:space="preserve"> result in a court order prohibiting </w:t>
      </w:r>
      <w:r w:rsidR="00561DB8" w:rsidRPr="000C5EDE">
        <w:rPr>
          <w:lang w:val="en-GB"/>
        </w:rPr>
        <w:t>him</w:t>
      </w:r>
      <w:r w:rsidR="00561DB8">
        <w:t xml:space="preserve"> from having </w:t>
      </w:r>
      <w:r w:rsidR="00561DB8" w:rsidRPr="00106447">
        <w:t>any contact with his alleged victims, namely his two extramarital partners</w:t>
      </w:r>
      <w:r w:rsidR="00561DB8">
        <w:t xml:space="preserve">, </w:t>
      </w:r>
      <w:r w:rsidR="00561DB8" w:rsidRPr="000C5EDE">
        <w:rPr>
          <w:lang w:val="en-GB"/>
        </w:rPr>
        <w:t>B.N. and A.M.</w:t>
      </w:r>
      <w:r w:rsidR="00561DB8">
        <w:t xml:space="preserve">, for a period of one year. </w:t>
      </w:r>
      <w:r w:rsidR="00561DB8" w:rsidRPr="000C5EDE">
        <w:rPr>
          <w:lang w:val="en-GB"/>
        </w:rPr>
        <w:t>He</w:t>
      </w:r>
      <w:r w:rsidR="00561DB8">
        <w:t xml:space="preserve"> was also prohibited from possessing any weapons during that period.</w:t>
      </w:r>
      <w:r w:rsidR="00561DB8" w:rsidRPr="00106447">
        <w:t xml:space="preserve"> </w:t>
      </w:r>
      <w:r w:rsidR="00561DB8" w:rsidRPr="000C5EDE">
        <w:rPr>
          <w:lang w:val="en-GB"/>
        </w:rPr>
        <w:t>A.</w:t>
      </w:r>
      <w:r w:rsidR="00561DB8">
        <w:rPr>
          <w:lang w:val="en-GB"/>
        </w:rPr>
        <w:t>M.</w:t>
      </w:r>
      <w:r w:rsidR="00561DB8" w:rsidRPr="00106447">
        <w:t xml:space="preserve"> was </w:t>
      </w:r>
      <w:r w:rsidR="00561DB8">
        <w:t xml:space="preserve">visibly </w:t>
      </w:r>
      <w:r w:rsidR="00561DB8" w:rsidRPr="00106447">
        <w:t xml:space="preserve">pregnant </w:t>
      </w:r>
      <w:r w:rsidR="00561DB8">
        <w:t xml:space="preserve">with </w:t>
      </w:r>
      <w:r w:rsidR="00561DB8" w:rsidRPr="000C5EDE">
        <w:rPr>
          <w:lang w:val="en-GB"/>
        </w:rPr>
        <w:t>th</w:t>
      </w:r>
      <w:r w:rsidR="00561DB8">
        <w:rPr>
          <w:lang w:val="en-GB"/>
        </w:rPr>
        <w:t>e author’s</w:t>
      </w:r>
      <w:r w:rsidR="00561DB8">
        <w:t xml:space="preserve"> child </w:t>
      </w:r>
      <w:r w:rsidR="00561DB8" w:rsidRPr="00106447">
        <w:t xml:space="preserve">when one of the alleged assaults took place. </w:t>
      </w:r>
      <w:r w:rsidR="00561DB8">
        <w:t xml:space="preserve">On 30 May 2011, </w:t>
      </w:r>
      <w:r w:rsidR="00561DB8" w:rsidRPr="000C5EDE">
        <w:rPr>
          <w:lang w:val="en-GB"/>
        </w:rPr>
        <w:t>t</w:t>
      </w:r>
      <w:r w:rsidR="00561DB8">
        <w:rPr>
          <w:lang w:val="en-GB"/>
        </w:rPr>
        <w:t>he author</w:t>
      </w:r>
      <w:r w:rsidR="00561DB8">
        <w:t xml:space="preserve"> was charged with two more</w:t>
      </w:r>
      <w:r w:rsidR="0069594F">
        <w:rPr>
          <w:lang w:val="en-GB"/>
        </w:rPr>
        <w:t xml:space="preserve"> </w:t>
      </w:r>
      <w:r w:rsidR="00561DB8">
        <w:t>counts of assault</w:t>
      </w:r>
      <w:r w:rsidR="00561DB8" w:rsidRPr="000C5EDE">
        <w:rPr>
          <w:lang w:val="en-GB"/>
        </w:rPr>
        <w:t xml:space="preserve">, </w:t>
      </w:r>
      <w:r w:rsidR="008B5E92">
        <w:rPr>
          <w:lang w:val="en-GB"/>
        </w:rPr>
        <w:t>of</w:t>
      </w:r>
      <w:r w:rsidR="008B5E92" w:rsidRPr="000C5EDE">
        <w:rPr>
          <w:lang w:val="en-GB"/>
        </w:rPr>
        <w:t xml:space="preserve"> </w:t>
      </w:r>
      <w:r w:rsidR="00561DB8" w:rsidRPr="000C5EDE">
        <w:rPr>
          <w:lang w:val="en-GB"/>
        </w:rPr>
        <w:t>which the alleged victim was his wife.</w:t>
      </w:r>
      <w:r w:rsidR="00561DB8">
        <w:rPr>
          <w:lang w:val="en-GB"/>
        </w:rPr>
        <w:t xml:space="preserve"> </w:t>
      </w:r>
      <w:r w:rsidR="00247B1F">
        <w:rPr>
          <w:lang w:val="en-GB"/>
        </w:rPr>
        <w:t xml:space="preserve">At the </w:t>
      </w:r>
      <w:r w:rsidR="008B5E92">
        <w:rPr>
          <w:lang w:val="en-GB"/>
        </w:rPr>
        <w:t xml:space="preserve">time the State party’s </w:t>
      </w:r>
      <w:r w:rsidR="00247B1F">
        <w:rPr>
          <w:lang w:val="en-GB"/>
        </w:rPr>
        <w:t xml:space="preserve">observations were submitted to the Committee, </w:t>
      </w:r>
      <w:r w:rsidR="0069594F">
        <w:rPr>
          <w:lang w:val="en-GB"/>
        </w:rPr>
        <w:t>the author</w:t>
      </w:r>
      <w:r w:rsidR="0069594F">
        <w:t xml:space="preserve"> </w:t>
      </w:r>
      <w:r w:rsidR="0069594F" w:rsidRPr="0069594F">
        <w:rPr>
          <w:lang w:val="en-GB"/>
        </w:rPr>
        <w:t xml:space="preserve">was in detention awaiting trial </w:t>
      </w:r>
      <w:r w:rsidR="008B5E92">
        <w:rPr>
          <w:lang w:val="en-GB"/>
        </w:rPr>
        <w:t>on</w:t>
      </w:r>
      <w:r w:rsidR="008B5E92" w:rsidRPr="0069594F">
        <w:rPr>
          <w:lang w:val="en-GB"/>
        </w:rPr>
        <w:t xml:space="preserve"> </w:t>
      </w:r>
      <w:r w:rsidR="0069594F">
        <w:t xml:space="preserve">four outstanding fraud-related </w:t>
      </w:r>
      <w:r w:rsidR="008B5E92">
        <w:rPr>
          <w:lang w:val="en-US"/>
        </w:rPr>
        <w:t xml:space="preserve">criminal </w:t>
      </w:r>
      <w:r w:rsidR="0069594F">
        <w:t>charges</w:t>
      </w:r>
      <w:r w:rsidR="0069594F" w:rsidRPr="009E13C8">
        <w:rPr>
          <w:lang w:val="en-GB"/>
        </w:rPr>
        <w:t xml:space="preserve"> (</w:t>
      </w:r>
      <w:r w:rsidR="0069594F">
        <w:t xml:space="preserve">three counts of fraudulent use of credit card data and one </w:t>
      </w:r>
      <w:r w:rsidR="0069594F" w:rsidRPr="00F45820">
        <w:t>count</w:t>
      </w:r>
      <w:r w:rsidR="0069594F">
        <w:t xml:space="preserve"> of fraud </w:t>
      </w:r>
      <w:r w:rsidR="008B5E92">
        <w:rPr>
          <w:lang w:val="en-US"/>
        </w:rPr>
        <w:t>in an amount exceeding Can</w:t>
      </w:r>
      <w:r w:rsidR="0069594F">
        <w:t>$</w:t>
      </w:r>
      <w:r w:rsidR="008B5E92">
        <w:rPr>
          <w:lang w:val="en-US"/>
        </w:rPr>
        <w:t xml:space="preserve"> </w:t>
      </w:r>
      <w:r w:rsidR="0069594F">
        <w:t>5</w:t>
      </w:r>
      <w:r w:rsidR="008B5E92">
        <w:rPr>
          <w:lang w:val="en-US"/>
        </w:rPr>
        <w:t>,</w:t>
      </w:r>
      <w:r w:rsidR="0069594F">
        <w:t>000</w:t>
      </w:r>
      <w:r w:rsidR="0069594F" w:rsidRPr="009E13C8">
        <w:rPr>
          <w:lang w:val="en-GB"/>
        </w:rPr>
        <w:t>)</w:t>
      </w:r>
      <w:r w:rsidR="0069594F">
        <w:rPr>
          <w:lang w:val="en-GB"/>
        </w:rPr>
        <w:t>.</w:t>
      </w:r>
      <w:r w:rsidR="0069594F">
        <w:t xml:space="preserve"> </w:t>
      </w:r>
      <w:r w:rsidR="009058AB" w:rsidRPr="009058AB">
        <w:rPr>
          <w:lang w:val="en-GB"/>
        </w:rPr>
        <w:t>T</w:t>
      </w:r>
      <w:r w:rsidR="009058AB">
        <w:rPr>
          <w:lang w:val="en-GB"/>
        </w:rPr>
        <w:t>he State party further note</w:t>
      </w:r>
      <w:r w:rsidR="008B5E92">
        <w:rPr>
          <w:lang w:val="en-GB"/>
        </w:rPr>
        <w:t>s</w:t>
      </w:r>
      <w:r w:rsidR="009058AB">
        <w:rPr>
          <w:lang w:val="en-GB"/>
        </w:rPr>
        <w:t xml:space="preserve"> that the author</w:t>
      </w:r>
      <w:r w:rsidR="009058AB">
        <w:t xml:space="preserve"> involved </w:t>
      </w:r>
      <w:r w:rsidR="009058AB" w:rsidRPr="009058AB">
        <w:rPr>
          <w:lang w:val="en-GB"/>
        </w:rPr>
        <w:t>his wife and B.N.</w:t>
      </w:r>
      <w:r w:rsidR="009058AB" w:rsidRPr="00D7769C">
        <w:t xml:space="preserve"> in his criminal activities. Both </w:t>
      </w:r>
      <w:r w:rsidR="009058AB" w:rsidRPr="009058AB">
        <w:rPr>
          <w:lang w:val="en-GB"/>
        </w:rPr>
        <w:t>women</w:t>
      </w:r>
      <w:r w:rsidR="009058AB" w:rsidRPr="00D7769C">
        <w:t xml:space="preserve"> were </w:t>
      </w:r>
      <w:r w:rsidR="009058AB">
        <w:t>arrested in connection with</w:t>
      </w:r>
      <w:r w:rsidR="009058AB" w:rsidRPr="00D7769C">
        <w:t xml:space="preserve"> crimes committed with </w:t>
      </w:r>
      <w:r w:rsidR="009058AB" w:rsidRPr="009058AB">
        <w:rPr>
          <w:lang w:val="en-GB"/>
        </w:rPr>
        <w:t>him</w:t>
      </w:r>
      <w:r w:rsidR="009058AB" w:rsidRPr="00D7769C">
        <w:t xml:space="preserve">. This resulted in </w:t>
      </w:r>
      <w:r w:rsidR="009058AB" w:rsidRPr="009058AB">
        <w:rPr>
          <w:lang w:val="en-GB"/>
        </w:rPr>
        <w:t>his</w:t>
      </w:r>
      <w:r w:rsidR="009058AB" w:rsidRPr="00D7769C">
        <w:t xml:space="preserve"> children </w:t>
      </w:r>
      <w:r w:rsidR="009058AB">
        <w:t xml:space="preserve">being placed in </w:t>
      </w:r>
      <w:r w:rsidR="009058AB" w:rsidRPr="00D7769C">
        <w:t xml:space="preserve">foster care while he and his wife were incarcerated. </w:t>
      </w:r>
    </w:p>
    <w:p w:rsidR="009209DB" w:rsidRPr="00FA4CA9" w:rsidRDefault="0069594F" w:rsidP="00C213F2">
      <w:pPr>
        <w:pStyle w:val="SingleTxtG"/>
        <w:rPr>
          <w:lang w:val="en-GB"/>
        </w:rPr>
      </w:pPr>
      <w:r>
        <w:rPr>
          <w:lang w:val="en-GB"/>
        </w:rPr>
        <w:t>4.3</w:t>
      </w:r>
      <w:r w:rsidR="00D718D3">
        <w:rPr>
          <w:lang w:val="en-GB"/>
        </w:rPr>
        <w:tab/>
      </w:r>
      <w:r>
        <w:rPr>
          <w:lang w:val="en-GB"/>
        </w:rPr>
        <w:t>The author</w:t>
      </w:r>
      <w:r>
        <w:t xml:space="preserve"> ha</w:t>
      </w:r>
      <w:r w:rsidRPr="0069594F">
        <w:rPr>
          <w:lang w:val="en-GB"/>
        </w:rPr>
        <w:t>d</w:t>
      </w:r>
      <w:r w:rsidR="00561DB8">
        <w:t xml:space="preserve"> also displayed a complete disregard for </w:t>
      </w:r>
      <w:r w:rsidR="002506EE">
        <w:rPr>
          <w:lang w:val="en-GB"/>
        </w:rPr>
        <w:t>the</w:t>
      </w:r>
      <w:r w:rsidR="00561DB8">
        <w:t xml:space="preserve"> law by violating almost all </w:t>
      </w:r>
      <w:r w:rsidR="008B5E92">
        <w:rPr>
          <w:lang w:val="en-US"/>
        </w:rPr>
        <w:t xml:space="preserve">the </w:t>
      </w:r>
      <w:r w:rsidR="00561DB8">
        <w:t>court orders and immigration conditions imposed on him.</w:t>
      </w:r>
      <w:r w:rsidR="008C3B5B">
        <w:t xml:space="preserve"> Most significantly, </w:t>
      </w:r>
      <w:r w:rsidR="00427A80" w:rsidRPr="00427A80">
        <w:rPr>
          <w:lang w:val="en-GB"/>
        </w:rPr>
        <w:t>he</w:t>
      </w:r>
      <w:r w:rsidR="008C3B5B">
        <w:t xml:space="preserve"> violated the peace bond of 19 February 2004 requiring him to have no contact with </w:t>
      </w:r>
      <w:r w:rsidR="00427A80" w:rsidRPr="00427A80">
        <w:rPr>
          <w:lang w:val="en-GB"/>
        </w:rPr>
        <w:t>B.</w:t>
      </w:r>
      <w:r w:rsidR="00427A80">
        <w:rPr>
          <w:lang w:val="en-GB"/>
        </w:rPr>
        <w:t>N and A.M.</w:t>
      </w:r>
    </w:p>
    <w:p w:rsidR="00D727AD" w:rsidRPr="00D727AD" w:rsidRDefault="0069594F" w:rsidP="00C213F2">
      <w:pPr>
        <w:pStyle w:val="SingleTxtG"/>
        <w:rPr>
          <w:lang w:val="en-GB"/>
        </w:rPr>
      </w:pPr>
      <w:r>
        <w:rPr>
          <w:color w:val="000000"/>
          <w:lang w:val="en-GB"/>
        </w:rPr>
        <w:t>4.4</w:t>
      </w:r>
      <w:r w:rsidR="009209DB">
        <w:rPr>
          <w:color w:val="000000"/>
          <w:lang w:val="en-GB"/>
        </w:rPr>
        <w:tab/>
      </w:r>
      <w:r w:rsidR="00D15A4C">
        <w:t xml:space="preserve">The </w:t>
      </w:r>
      <w:r w:rsidR="005F15B2" w:rsidRPr="005F15B2">
        <w:rPr>
          <w:lang w:val="en-GB"/>
        </w:rPr>
        <w:t xml:space="preserve">State party maintains that </w:t>
      </w:r>
      <w:r w:rsidR="005F15B2">
        <w:rPr>
          <w:lang w:val="en-GB"/>
        </w:rPr>
        <w:t xml:space="preserve">the </w:t>
      </w:r>
      <w:r w:rsidR="00D15A4C">
        <w:t>author’s allegations under article 2</w:t>
      </w:r>
      <w:r w:rsidR="008B5E92">
        <w:rPr>
          <w:lang w:val="en-US"/>
        </w:rPr>
        <w:t xml:space="preserve"> </w:t>
      </w:r>
      <w:r w:rsidR="00D15A4C">
        <w:t xml:space="preserve">(3) of </w:t>
      </w:r>
      <w:r w:rsidR="00D15A4C" w:rsidRPr="0063295C">
        <w:t>the Covenant</w:t>
      </w:r>
      <w:r w:rsidR="0063295C">
        <w:t xml:space="preserve"> should be declared inadmissible pursuant to article 3 of the Optional Protocol</w:t>
      </w:r>
      <w:r w:rsidR="008B5E92">
        <w:rPr>
          <w:lang w:val="en-US"/>
        </w:rPr>
        <w:t>,</w:t>
      </w:r>
      <w:r w:rsidR="0063295C">
        <w:t xml:space="preserve"> since they are</w:t>
      </w:r>
      <w:r w:rsidR="00D15A4C">
        <w:t xml:space="preserve"> incompatible </w:t>
      </w:r>
      <w:r w:rsidR="00D15A4C" w:rsidRPr="00656D66">
        <w:rPr>
          <w:i/>
        </w:rPr>
        <w:t>ratione materiae</w:t>
      </w:r>
      <w:r w:rsidR="00D15A4C">
        <w:t xml:space="preserve"> with the provisions of the</w:t>
      </w:r>
      <w:r w:rsidR="0063295C">
        <w:t xml:space="preserve"> Covenant. The author invoke</w:t>
      </w:r>
      <w:r w:rsidR="002506EE" w:rsidRPr="002506EE">
        <w:rPr>
          <w:lang w:val="en-GB"/>
        </w:rPr>
        <w:t>d</w:t>
      </w:r>
      <w:r w:rsidR="0063295C">
        <w:t xml:space="preserve"> article 2</w:t>
      </w:r>
      <w:r w:rsidR="008B5E92">
        <w:rPr>
          <w:lang w:val="en-US"/>
        </w:rPr>
        <w:t xml:space="preserve"> </w:t>
      </w:r>
      <w:r w:rsidR="0063295C">
        <w:t xml:space="preserve">(3) as the basis of a free-standing right </w:t>
      </w:r>
      <w:r w:rsidR="005F15B2">
        <w:t>to an effective legal remedy</w:t>
      </w:r>
      <w:r w:rsidR="00D15A4C" w:rsidRPr="009209DB">
        <w:t>.</w:t>
      </w:r>
      <w:r w:rsidR="00672CFD">
        <w:t xml:space="preserve"> </w:t>
      </w:r>
      <w:r w:rsidR="009209DB" w:rsidRPr="009209DB">
        <w:t>In the alternative, the alleged violation of article 2</w:t>
      </w:r>
      <w:r w:rsidR="008B5E92">
        <w:rPr>
          <w:lang w:val="en-US"/>
        </w:rPr>
        <w:t xml:space="preserve"> </w:t>
      </w:r>
      <w:r w:rsidR="009209DB" w:rsidRPr="009209DB">
        <w:t>(3) is not sufficiently substantiated for</w:t>
      </w:r>
      <w:r w:rsidR="00D727AD">
        <w:t xml:space="preserve"> the purposes of admissibility.</w:t>
      </w:r>
    </w:p>
    <w:p w:rsidR="00271A84" w:rsidRPr="00271A84" w:rsidRDefault="0069594F" w:rsidP="00C213F2">
      <w:pPr>
        <w:pStyle w:val="SingleTxtG"/>
        <w:rPr>
          <w:lang w:val="en-GB"/>
        </w:rPr>
      </w:pPr>
      <w:r>
        <w:rPr>
          <w:lang w:val="en-GB"/>
        </w:rPr>
        <w:t>4.5</w:t>
      </w:r>
      <w:r w:rsidR="00D727AD">
        <w:rPr>
          <w:lang w:val="en-GB"/>
        </w:rPr>
        <w:tab/>
      </w:r>
      <w:r w:rsidR="00D727AD">
        <w:t>As to the author’s claims of violation of articles 6</w:t>
      </w:r>
      <w:r w:rsidR="008B5E92">
        <w:rPr>
          <w:lang w:val="en-US"/>
        </w:rPr>
        <w:t xml:space="preserve"> </w:t>
      </w:r>
      <w:r w:rsidR="00D727AD">
        <w:t xml:space="preserve">(1) and 7 in connection </w:t>
      </w:r>
      <w:r w:rsidR="008B5E92">
        <w:rPr>
          <w:lang w:val="en-US"/>
        </w:rPr>
        <w:t>with</w:t>
      </w:r>
      <w:r w:rsidR="008B5E92">
        <w:t xml:space="preserve"> </w:t>
      </w:r>
      <w:r w:rsidR="00D727AD">
        <w:t xml:space="preserve">his </w:t>
      </w:r>
      <w:r w:rsidR="0080707D">
        <w:t xml:space="preserve">allegations </w:t>
      </w:r>
      <w:r w:rsidR="008B5E92">
        <w:rPr>
          <w:lang w:val="en-US"/>
        </w:rPr>
        <w:t>that he would be at</w:t>
      </w:r>
      <w:r w:rsidR="0080707D">
        <w:t xml:space="preserve"> risk of political persecution in Zimbabwe, whether as a failed </w:t>
      </w:r>
      <w:r w:rsidR="0049233A" w:rsidRPr="0049233A">
        <w:rPr>
          <w:lang w:val="en-GB"/>
        </w:rPr>
        <w:t>asylum</w:t>
      </w:r>
      <w:r w:rsidR="00325D86">
        <w:rPr>
          <w:lang w:val="en-GB"/>
        </w:rPr>
        <w:t xml:space="preserve"> </w:t>
      </w:r>
      <w:r w:rsidR="0049233A" w:rsidRPr="0049233A">
        <w:rPr>
          <w:lang w:val="en-GB"/>
        </w:rPr>
        <w:t>seeker</w:t>
      </w:r>
      <w:r w:rsidR="0080707D">
        <w:t xml:space="preserve"> or otherwise, </w:t>
      </w:r>
      <w:r w:rsidR="00D727AD">
        <w:t xml:space="preserve">the State party maintains that they </w:t>
      </w:r>
      <w:r w:rsidR="00325D86">
        <w:rPr>
          <w:lang w:val="en-US"/>
        </w:rPr>
        <w:t>are</w:t>
      </w:r>
      <w:r w:rsidR="00D727AD">
        <w:t xml:space="preserve"> </w:t>
      </w:r>
      <w:r w:rsidR="0080707D">
        <w:t xml:space="preserve">inadmissible </w:t>
      </w:r>
      <w:r w:rsidR="00325D86">
        <w:rPr>
          <w:lang w:val="en-US"/>
        </w:rPr>
        <w:t xml:space="preserve">on </w:t>
      </w:r>
      <w:r w:rsidR="00325D86">
        <w:rPr>
          <w:lang w:val="en-US"/>
        </w:rPr>
        <w:lastRenderedPageBreak/>
        <w:t>the ground of</w:t>
      </w:r>
      <w:r w:rsidR="00325D86">
        <w:t xml:space="preserve"> </w:t>
      </w:r>
      <w:r w:rsidR="0080707D">
        <w:t xml:space="preserve">non-exhaustion of domestic remedies because </w:t>
      </w:r>
      <w:r w:rsidR="00D727AD">
        <w:t>the author</w:t>
      </w:r>
      <w:r w:rsidR="0080707D">
        <w:t xml:space="preserve"> did not avail himself of the opportunity to seek judicial review</w:t>
      </w:r>
      <w:r w:rsidR="0049233A" w:rsidRPr="0049233A">
        <w:rPr>
          <w:lang w:val="en-GB"/>
        </w:rPr>
        <w:t xml:space="preserve"> before the Federal Court</w:t>
      </w:r>
      <w:r w:rsidR="0080707D">
        <w:t xml:space="preserve"> of the negative decision of the </w:t>
      </w:r>
      <w:r w:rsidR="00325D86">
        <w:rPr>
          <w:lang w:val="en-US"/>
        </w:rPr>
        <w:t>Immigration and Refugee Board</w:t>
      </w:r>
      <w:r w:rsidR="00325D86">
        <w:t xml:space="preserve"> </w:t>
      </w:r>
      <w:r w:rsidR="0049233A" w:rsidRPr="0049233A">
        <w:rPr>
          <w:lang w:val="en-GB"/>
        </w:rPr>
        <w:t xml:space="preserve">concerning his request for refugee protection </w:t>
      </w:r>
      <w:r w:rsidR="0080707D">
        <w:t>or of the negative PRRA decision, both of which were concerned</w:t>
      </w:r>
      <w:r w:rsidR="0049233A">
        <w:t xml:space="preserve"> with such risks</w:t>
      </w:r>
      <w:r w:rsidR="0080707D" w:rsidRPr="00D727AD">
        <w:t>.</w:t>
      </w:r>
      <w:r w:rsidR="0080707D" w:rsidRPr="009B3268">
        <w:rPr>
          <w:rStyle w:val="FootnoteReference"/>
        </w:rPr>
        <w:footnoteReference w:id="14"/>
      </w:r>
      <w:r w:rsidR="0080707D" w:rsidRPr="00D727AD">
        <w:t xml:space="preserve"> </w:t>
      </w:r>
      <w:r w:rsidR="00325D86">
        <w:rPr>
          <w:lang w:val="en-US"/>
        </w:rPr>
        <w:t>G</w:t>
      </w:r>
      <w:r w:rsidR="0080707D">
        <w:t xml:space="preserve">iven </w:t>
      </w:r>
      <w:r w:rsidR="00D727AD">
        <w:t>the author</w:t>
      </w:r>
      <w:r w:rsidR="0080707D">
        <w:t xml:space="preserve">’s failure to exhaust available and effective domestic remedies on two separate occasions, the Committee should declare his allegation </w:t>
      </w:r>
      <w:r w:rsidR="00325D86">
        <w:rPr>
          <w:lang w:val="en-US"/>
        </w:rPr>
        <w:t>that he would be at</w:t>
      </w:r>
      <w:r w:rsidR="0080707D">
        <w:t xml:space="preserve"> risk of </w:t>
      </w:r>
      <w:r w:rsidR="00D727AD">
        <w:t>persecution as a failed asylum</w:t>
      </w:r>
      <w:r w:rsidR="00325D86">
        <w:rPr>
          <w:lang w:val="en-US"/>
        </w:rPr>
        <w:t xml:space="preserve"> </w:t>
      </w:r>
      <w:r w:rsidR="00D727AD">
        <w:t>seeker</w:t>
      </w:r>
      <w:r w:rsidR="00A65460">
        <w:rPr>
          <w:lang w:val="en-US"/>
        </w:rPr>
        <w:t xml:space="preserve"> </w:t>
      </w:r>
      <w:r w:rsidR="00A65460">
        <w:t>inadmissible</w:t>
      </w:r>
      <w:r w:rsidR="0080707D">
        <w:t>.</w:t>
      </w:r>
    </w:p>
    <w:p w:rsidR="00271A84" w:rsidRPr="009B3268" w:rsidRDefault="0069594F" w:rsidP="00C213F2">
      <w:pPr>
        <w:pStyle w:val="SingleTxtG"/>
        <w:rPr>
          <w:lang w:val="en-US"/>
        </w:rPr>
      </w:pPr>
      <w:r>
        <w:rPr>
          <w:lang w:val="en-GB"/>
        </w:rPr>
        <w:t>4.6</w:t>
      </w:r>
      <w:r w:rsidR="00E8486E">
        <w:rPr>
          <w:lang w:val="en-GB"/>
        </w:rPr>
        <w:tab/>
      </w:r>
      <w:r w:rsidR="00334EC3">
        <w:rPr>
          <w:lang w:val="en-GB"/>
        </w:rPr>
        <w:t xml:space="preserve">In addition, </w:t>
      </w:r>
      <w:r w:rsidR="00E83D3A">
        <w:rPr>
          <w:lang w:val="en-GB"/>
        </w:rPr>
        <w:t>the State party submit</w:t>
      </w:r>
      <w:r w:rsidR="00325D86">
        <w:rPr>
          <w:lang w:val="en-GB"/>
        </w:rPr>
        <w:t>s</w:t>
      </w:r>
      <w:r w:rsidR="00334EC3" w:rsidRPr="00334EC3">
        <w:rPr>
          <w:lang w:val="en-GB"/>
        </w:rPr>
        <w:t xml:space="preserve"> that</w:t>
      </w:r>
      <w:r w:rsidR="009155D0">
        <w:t xml:space="preserve"> the author’s allegations under article 6</w:t>
      </w:r>
      <w:r w:rsidR="00325D86">
        <w:rPr>
          <w:lang w:val="en-US"/>
        </w:rPr>
        <w:t xml:space="preserve"> </w:t>
      </w:r>
      <w:r w:rsidR="009155D0">
        <w:t xml:space="preserve">(1) and 7 of the Covenant are not substantiated. </w:t>
      </w:r>
      <w:r w:rsidR="00E83D3A">
        <w:t xml:space="preserve">There </w:t>
      </w:r>
      <w:r w:rsidR="00E83D3A" w:rsidRPr="00E83D3A">
        <w:rPr>
          <w:lang w:val="en-GB"/>
        </w:rPr>
        <w:t>was</w:t>
      </w:r>
      <w:r w:rsidR="00AD4A07">
        <w:t xml:space="preserve"> also no evidence to suggest that the author would be identified and personally targeted in Zimbabwe for any reason whatsoever.</w:t>
      </w:r>
      <w:r w:rsidR="00E83D3A">
        <w:rPr>
          <w:lang w:val="en-GB"/>
        </w:rPr>
        <w:t xml:space="preserve"> </w:t>
      </w:r>
      <w:r w:rsidR="009155D0">
        <w:t>The author relie</w:t>
      </w:r>
      <w:r w:rsidR="00325D86">
        <w:rPr>
          <w:lang w:val="en-US"/>
        </w:rPr>
        <w:t>s</w:t>
      </w:r>
      <w:r w:rsidR="009155D0">
        <w:t xml:space="preserve"> on</w:t>
      </w:r>
      <w:r w:rsidR="00BE44B9">
        <w:t xml:space="preserve"> a </w:t>
      </w:r>
      <w:r w:rsidR="00325D86">
        <w:rPr>
          <w:lang w:val="en-US"/>
        </w:rPr>
        <w:t xml:space="preserve">report </w:t>
      </w:r>
      <w:r w:rsidR="00BE44B9">
        <w:t>dated 8 March 2011</w:t>
      </w:r>
      <w:r w:rsidR="00862B13">
        <w:rPr>
          <w:lang w:val="en-US"/>
        </w:rPr>
        <w:t xml:space="preserve"> in</w:t>
      </w:r>
      <w:r w:rsidR="009155D0">
        <w:t xml:space="preserve"> </w:t>
      </w:r>
      <w:r w:rsidR="009155D0" w:rsidRPr="00994C7D">
        <w:t xml:space="preserve">which </w:t>
      </w:r>
      <w:r w:rsidR="00862B13" w:rsidRPr="005C1329">
        <w:t>H</w:t>
      </w:r>
      <w:r w:rsidR="00862B13">
        <w:t xml:space="preserve">uman Rights Watch </w:t>
      </w:r>
      <w:r w:rsidR="009155D0">
        <w:t>stated</w:t>
      </w:r>
      <w:r w:rsidR="00BE44B9">
        <w:t xml:space="preserve"> that human rights violations continue</w:t>
      </w:r>
      <w:r w:rsidR="009155D0">
        <w:t>d</w:t>
      </w:r>
      <w:r w:rsidR="00BE44B9">
        <w:t xml:space="preserve"> to be committed </w:t>
      </w:r>
      <w:r w:rsidR="00325D86">
        <w:rPr>
          <w:lang w:val="en-US"/>
        </w:rPr>
        <w:t xml:space="preserve">in Zimbabwe </w:t>
      </w:r>
      <w:r w:rsidR="00BE44B9">
        <w:t xml:space="preserve">against members and supporters of </w:t>
      </w:r>
      <w:r w:rsidR="00325D86">
        <w:rPr>
          <w:lang w:val="en-US"/>
        </w:rPr>
        <w:t>the Movement for Democratic Change</w:t>
      </w:r>
      <w:r w:rsidR="00325D86">
        <w:t xml:space="preserve"> </w:t>
      </w:r>
      <w:r w:rsidR="00BE44B9">
        <w:t xml:space="preserve">and those critical of </w:t>
      </w:r>
      <w:r w:rsidR="00E958AB">
        <w:rPr>
          <w:lang w:val="en-US"/>
        </w:rPr>
        <w:t xml:space="preserve">the </w:t>
      </w:r>
      <w:r w:rsidR="00E958AB">
        <w:rPr>
          <w:bCs/>
        </w:rPr>
        <w:t>Zimbabwe African National Union Patriotic Front</w:t>
      </w:r>
      <w:r w:rsidR="00BE44B9">
        <w:t xml:space="preserve">. </w:t>
      </w:r>
      <w:r w:rsidR="009155D0">
        <w:t>However, th</w:t>
      </w:r>
      <w:r w:rsidR="00325D86">
        <w:rPr>
          <w:lang w:val="en-US"/>
        </w:rPr>
        <w:t>e</w:t>
      </w:r>
      <w:r w:rsidR="00BE44B9">
        <w:t xml:space="preserve"> report </w:t>
      </w:r>
      <w:r w:rsidR="009155D0">
        <w:t>made</w:t>
      </w:r>
      <w:r w:rsidR="00BE44B9">
        <w:t xml:space="preserve"> no reference </w:t>
      </w:r>
      <w:r w:rsidR="00862B13">
        <w:rPr>
          <w:lang w:val="en-US"/>
        </w:rPr>
        <w:t>to</w:t>
      </w:r>
      <w:r w:rsidR="00325D86">
        <w:t xml:space="preserve"> </w:t>
      </w:r>
      <w:r w:rsidR="00BE44B9">
        <w:t xml:space="preserve">failed </w:t>
      </w:r>
      <w:r w:rsidR="009155D0">
        <w:t>asylum seekers</w:t>
      </w:r>
      <w:r w:rsidR="00AD4A07">
        <w:t xml:space="preserve"> returning to Zimbabwe</w:t>
      </w:r>
      <w:r w:rsidR="00BE44B9">
        <w:t xml:space="preserve">. </w:t>
      </w:r>
      <w:r w:rsidR="00862B13">
        <w:rPr>
          <w:lang w:val="en-US"/>
        </w:rPr>
        <w:t>The State party notes that t</w:t>
      </w:r>
      <w:r w:rsidR="00BE44B9">
        <w:t xml:space="preserve">here is also no </w:t>
      </w:r>
      <w:r w:rsidR="00862B13">
        <w:rPr>
          <w:lang w:val="en-US"/>
        </w:rPr>
        <w:t>evidence</w:t>
      </w:r>
      <w:r w:rsidR="00862B13">
        <w:t xml:space="preserve"> </w:t>
      </w:r>
      <w:r w:rsidR="00BE44B9">
        <w:t xml:space="preserve">that failed </w:t>
      </w:r>
      <w:r w:rsidR="009155D0">
        <w:t>asylum seekers</w:t>
      </w:r>
      <w:r w:rsidR="00BE44B9">
        <w:t xml:space="preserve"> are perceived as opponents of ZANU</w:t>
      </w:r>
      <w:r w:rsidR="000D3758" w:rsidRPr="009B3268">
        <w:rPr>
          <w:lang w:val="en-US"/>
        </w:rPr>
        <w:t>­</w:t>
      </w:r>
      <w:r w:rsidR="00BE44B9">
        <w:t xml:space="preserve">PF. </w:t>
      </w:r>
      <w:r w:rsidR="00862B13">
        <w:rPr>
          <w:lang w:val="en-US"/>
        </w:rPr>
        <w:t xml:space="preserve"> </w:t>
      </w:r>
    </w:p>
    <w:p w:rsidR="00271A84" w:rsidRPr="00E83D3A" w:rsidRDefault="0069594F" w:rsidP="00C213F2">
      <w:pPr>
        <w:pStyle w:val="SingleTxtG"/>
        <w:rPr>
          <w:color w:val="000000"/>
          <w:lang w:val="en-GB"/>
        </w:rPr>
      </w:pPr>
      <w:r>
        <w:rPr>
          <w:lang w:val="en-GB"/>
        </w:rPr>
        <w:t>4.</w:t>
      </w:r>
      <w:r w:rsidR="00E83D3A">
        <w:rPr>
          <w:lang w:val="en-GB"/>
        </w:rPr>
        <w:t>7</w:t>
      </w:r>
      <w:r w:rsidR="00AD4A07" w:rsidRPr="00AD4A07">
        <w:rPr>
          <w:lang w:val="en-GB"/>
        </w:rPr>
        <w:tab/>
      </w:r>
      <w:r w:rsidR="00AD4A07">
        <w:t>As to the author’</w:t>
      </w:r>
      <w:r w:rsidR="00AD4A07" w:rsidRPr="00AD4A07">
        <w:rPr>
          <w:lang w:val="en-GB"/>
        </w:rPr>
        <w:t>s</w:t>
      </w:r>
      <w:r w:rsidR="00E633BB">
        <w:t xml:space="preserve"> allegations that </w:t>
      </w:r>
      <w:r w:rsidR="00325D86">
        <w:rPr>
          <w:lang w:val="en-US"/>
        </w:rPr>
        <w:t>antiretroviral medications</w:t>
      </w:r>
      <w:r w:rsidR="00325D86">
        <w:t xml:space="preserve"> </w:t>
      </w:r>
      <w:r w:rsidR="00AD4A07" w:rsidRPr="00AD4A07">
        <w:rPr>
          <w:lang w:val="en-GB"/>
        </w:rPr>
        <w:t>are</w:t>
      </w:r>
      <w:r w:rsidR="00BE44B9">
        <w:t xml:space="preserve"> unavailable or unaffordable in Zimbabwe</w:t>
      </w:r>
      <w:r w:rsidR="00E83D3A">
        <w:t>, the State party point</w:t>
      </w:r>
      <w:r w:rsidR="00325D86">
        <w:rPr>
          <w:lang w:val="en-GB"/>
        </w:rPr>
        <w:t>s</w:t>
      </w:r>
      <w:r w:rsidR="00E633BB">
        <w:t xml:space="preserve"> out that its authorities based their decisions on</w:t>
      </w:r>
      <w:r w:rsidR="00BE44B9">
        <w:t xml:space="preserve"> open</w:t>
      </w:r>
      <w:r w:rsidR="00325D86">
        <w:rPr>
          <w:lang w:val="en-US"/>
        </w:rPr>
        <w:t>-</w:t>
      </w:r>
      <w:r w:rsidR="00BE44B9">
        <w:t>source information and medical opinions from doc</w:t>
      </w:r>
      <w:r w:rsidR="00E83D3A">
        <w:t>tors practi</w:t>
      </w:r>
      <w:r w:rsidR="00325D86">
        <w:rPr>
          <w:lang w:val="en-US"/>
        </w:rPr>
        <w:t>s</w:t>
      </w:r>
      <w:r w:rsidR="00E83D3A">
        <w:t xml:space="preserve">ing in </w:t>
      </w:r>
      <w:r w:rsidR="00862B13">
        <w:rPr>
          <w:lang w:val="en-US"/>
        </w:rPr>
        <w:t>Zimbabwe</w:t>
      </w:r>
      <w:r w:rsidR="00E83D3A" w:rsidRPr="00E83D3A">
        <w:rPr>
          <w:lang w:val="en-GB"/>
        </w:rPr>
        <w:t>; that</w:t>
      </w:r>
      <w:r w:rsidR="00E83D3A">
        <w:rPr>
          <w:lang w:val="en-GB"/>
        </w:rPr>
        <w:t xml:space="preserve"> </w:t>
      </w:r>
      <w:r w:rsidR="00325D86">
        <w:rPr>
          <w:color w:val="000000"/>
          <w:lang w:val="en-US"/>
        </w:rPr>
        <w:t>such medications can</w:t>
      </w:r>
      <w:r w:rsidR="00BE44B9">
        <w:rPr>
          <w:color w:val="000000"/>
        </w:rPr>
        <w:t xml:space="preserve"> be purchased at pharmacies in Zimbabwe for </w:t>
      </w:r>
      <w:r w:rsidR="00BE44B9" w:rsidRPr="00325D86">
        <w:rPr>
          <w:color w:val="000000"/>
        </w:rPr>
        <w:t xml:space="preserve">about </w:t>
      </w:r>
      <w:r w:rsidR="00325D86" w:rsidRPr="009B3268">
        <w:rPr>
          <w:color w:val="000000"/>
          <w:lang w:val="en-US"/>
        </w:rPr>
        <w:t>US</w:t>
      </w:r>
      <w:r w:rsidR="00BE44B9" w:rsidRPr="00325D86">
        <w:rPr>
          <w:color w:val="000000"/>
        </w:rPr>
        <w:t>$</w:t>
      </w:r>
      <w:r w:rsidR="00325D86" w:rsidRPr="009B3268">
        <w:rPr>
          <w:color w:val="000000"/>
          <w:lang w:val="en-US"/>
        </w:rPr>
        <w:t xml:space="preserve"> </w:t>
      </w:r>
      <w:r w:rsidR="00BE44B9" w:rsidRPr="00325D86">
        <w:rPr>
          <w:color w:val="000000"/>
        </w:rPr>
        <w:t xml:space="preserve">30 </w:t>
      </w:r>
      <w:r w:rsidR="00BE44B9">
        <w:rPr>
          <w:color w:val="000000"/>
        </w:rPr>
        <w:t xml:space="preserve">per month </w:t>
      </w:r>
      <w:r w:rsidR="00E83D3A" w:rsidRPr="00E83D3A">
        <w:rPr>
          <w:color w:val="000000"/>
          <w:lang w:val="en-GB"/>
        </w:rPr>
        <w:t>or</w:t>
      </w:r>
      <w:r w:rsidR="00BE44B9">
        <w:rPr>
          <w:color w:val="000000"/>
        </w:rPr>
        <w:t xml:space="preserve"> </w:t>
      </w:r>
      <w:r w:rsidR="00325D86">
        <w:rPr>
          <w:color w:val="000000"/>
          <w:lang w:val="en-US"/>
        </w:rPr>
        <w:t>can</w:t>
      </w:r>
      <w:r w:rsidR="00325D86">
        <w:rPr>
          <w:color w:val="000000"/>
        </w:rPr>
        <w:t xml:space="preserve"> </w:t>
      </w:r>
      <w:r w:rsidR="00BE44B9">
        <w:rPr>
          <w:color w:val="000000"/>
        </w:rPr>
        <w:t>be obtained f</w:t>
      </w:r>
      <w:r w:rsidR="00E83D3A">
        <w:rPr>
          <w:color w:val="000000"/>
        </w:rPr>
        <w:t>or free at several institutions</w:t>
      </w:r>
      <w:r w:rsidR="00E83D3A" w:rsidRPr="00E83D3A">
        <w:rPr>
          <w:color w:val="000000"/>
          <w:lang w:val="en-GB"/>
        </w:rPr>
        <w:t>;</w:t>
      </w:r>
      <w:r w:rsidR="00290EBE">
        <w:rPr>
          <w:color w:val="000000"/>
        </w:rPr>
        <w:t xml:space="preserve"> </w:t>
      </w:r>
      <w:r w:rsidR="00E83D3A" w:rsidRPr="00E83D3A">
        <w:rPr>
          <w:color w:val="000000"/>
          <w:lang w:val="en-GB"/>
        </w:rPr>
        <w:t>th</w:t>
      </w:r>
      <w:r w:rsidR="00E83D3A">
        <w:rPr>
          <w:color w:val="000000"/>
          <w:lang w:val="en-GB"/>
        </w:rPr>
        <w:t xml:space="preserve">at other more recent </w:t>
      </w:r>
      <w:r w:rsidR="00E83D3A">
        <w:rPr>
          <w:color w:val="000000"/>
        </w:rPr>
        <w:t xml:space="preserve">reports confirm the availability of </w:t>
      </w:r>
      <w:r w:rsidR="00325D86">
        <w:rPr>
          <w:color w:val="000000"/>
          <w:lang w:val="en-US"/>
        </w:rPr>
        <w:t xml:space="preserve">those medications </w:t>
      </w:r>
      <w:r w:rsidR="00E83D3A">
        <w:rPr>
          <w:color w:val="000000"/>
        </w:rPr>
        <w:t>in Zimbabwe</w:t>
      </w:r>
      <w:r w:rsidR="00E83D3A" w:rsidRPr="00E83D3A">
        <w:rPr>
          <w:color w:val="000000"/>
          <w:lang w:val="en-GB"/>
        </w:rPr>
        <w:t>;</w:t>
      </w:r>
      <w:r w:rsidR="00E83D3A" w:rsidRPr="009B3268">
        <w:rPr>
          <w:rStyle w:val="FootnoteReference"/>
        </w:rPr>
        <w:footnoteReference w:id="15"/>
      </w:r>
      <w:r w:rsidR="00E83D3A" w:rsidRPr="00E83D3A">
        <w:rPr>
          <w:color w:val="000000"/>
          <w:lang w:val="en-GB"/>
        </w:rPr>
        <w:t xml:space="preserve"> and </w:t>
      </w:r>
      <w:r w:rsidR="00290EBE">
        <w:rPr>
          <w:color w:val="000000"/>
        </w:rPr>
        <w:t>that the author</w:t>
      </w:r>
      <w:r w:rsidR="00BE44B9">
        <w:rPr>
          <w:color w:val="000000"/>
        </w:rPr>
        <w:t xml:space="preserve"> had family in Zimbabwe </w:t>
      </w:r>
      <w:r w:rsidR="00E83D3A">
        <w:rPr>
          <w:color w:val="000000"/>
        </w:rPr>
        <w:t>on whose support he could rely.</w:t>
      </w:r>
      <w:r w:rsidR="00BE44B9">
        <w:rPr>
          <w:color w:val="000000"/>
        </w:rPr>
        <w:t xml:space="preserve"> </w:t>
      </w:r>
      <w:r w:rsidR="00E83D3A" w:rsidRPr="00E83D3A">
        <w:rPr>
          <w:color w:val="000000"/>
          <w:lang w:val="en-GB"/>
        </w:rPr>
        <w:t>It</w:t>
      </w:r>
      <w:r w:rsidR="00E83D3A">
        <w:rPr>
          <w:color w:val="000000"/>
          <w:lang w:val="en-GB"/>
        </w:rPr>
        <w:t xml:space="preserve"> also</w:t>
      </w:r>
      <w:r w:rsidR="00E83D3A">
        <w:rPr>
          <w:color w:val="000000"/>
        </w:rPr>
        <w:t xml:space="preserve"> </w:t>
      </w:r>
      <w:r w:rsidR="00325D86">
        <w:rPr>
          <w:color w:val="000000"/>
          <w:lang w:val="en-US"/>
        </w:rPr>
        <w:t>states</w:t>
      </w:r>
      <w:r w:rsidR="00F5468B">
        <w:rPr>
          <w:color w:val="000000"/>
        </w:rPr>
        <w:t xml:space="preserve"> that s</w:t>
      </w:r>
      <w:r w:rsidR="00BE44B9">
        <w:rPr>
          <w:color w:val="000000"/>
        </w:rPr>
        <w:t xml:space="preserve">ince his detention </w:t>
      </w:r>
      <w:r w:rsidR="00325D86">
        <w:rPr>
          <w:color w:val="000000"/>
          <w:lang w:val="en-US"/>
        </w:rPr>
        <w:t>on</w:t>
      </w:r>
      <w:r w:rsidR="00325D86">
        <w:rPr>
          <w:color w:val="000000"/>
        </w:rPr>
        <w:t xml:space="preserve"> </w:t>
      </w:r>
      <w:r w:rsidR="00BE44B9">
        <w:t xml:space="preserve">30 May 2011, </w:t>
      </w:r>
      <w:r w:rsidR="00F5468B">
        <w:t>the author</w:t>
      </w:r>
      <w:r w:rsidR="00BE44B9">
        <w:t xml:space="preserve"> has refused to undergo any blood tests that would have allowed </w:t>
      </w:r>
      <w:r w:rsidR="00325D86">
        <w:rPr>
          <w:lang w:val="en-US"/>
        </w:rPr>
        <w:t>the State party</w:t>
      </w:r>
      <w:r w:rsidR="00325D86">
        <w:t xml:space="preserve"> </w:t>
      </w:r>
      <w:r w:rsidR="00BE44B9">
        <w:t xml:space="preserve">to ascertain his current CD4 </w:t>
      </w:r>
      <w:r w:rsidR="00325D86">
        <w:rPr>
          <w:lang w:val="en-US"/>
        </w:rPr>
        <w:t xml:space="preserve">cell </w:t>
      </w:r>
      <w:r w:rsidR="00BE44B9">
        <w:t xml:space="preserve">count. </w:t>
      </w:r>
      <w:r w:rsidR="00F5468B">
        <w:t xml:space="preserve">At the </w:t>
      </w:r>
      <w:r w:rsidR="00325D86">
        <w:rPr>
          <w:lang w:val="en-US"/>
        </w:rPr>
        <w:t xml:space="preserve">time </w:t>
      </w:r>
      <w:r w:rsidR="00F5468B">
        <w:t xml:space="preserve">its observations were submitted to the Committee, </w:t>
      </w:r>
      <w:r w:rsidR="00325D86">
        <w:rPr>
          <w:lang w:val="en-US"/>
        </w:rPr>
        <w:t>the author</w:t>
      </w:r>
      <w:r w:rsidR="00325D86">
        <w:t xml:space="preserve"> </w:t>
      </w:r>
      <w:r w:rsidR="00F5468B">
        <w:t>was</w:t>
      </w:r>
      <w:r w:rsidR="00BE44B9">
        <w:t xml:space="preserve"> not taking any medications. </w:t>
      </w:r>
    </w:p>
    <w:p w:rsidR="00271A84" w:rsidRPr="00271A84" w:rsidRDefault="0069594F" w:rsidP="00C213F2">
      <w:pPr>
        <w:pStyle w:val="SingleTxtG"/>
        <w:rPr>
          <w:lang w:val="en-GB"/>
        </w:rPr>
      </w:pPr>
      <w:r>
        <w:rPr>
          <w:lang w:val="en-GB"/>
        </w:rPr>
        <w:t>4.</w:t>
      </w:r>
      <w:r w:rsidR="00E83D3A">
        <w:rPr>
          <w:lang w:val="en-GB"/>
        </w:rPr>
        <w:t>8</w:t>
      </w:r>
      <w:r w:rsidR="00A57236" w:rsidRPr="00A57236">
        <w:rPr>
          <w:lang w:val="en-GB"/>
        </w:rPr>
        <w:tab/>
      </w:r>
      <w:r w:rsidR="00D2786A">
        <w:t>Th</w:t>
      </w:r>
      <w:r w:rsidR="00E83D3A">
        <w:t>e State party maintain</w:t>
      </w:r>
      <w:r w:rsidR="00325D86">
        <w:rPr>
          <w:lang w:val="en-GB"/>
        </w:rPr>
        <w:t>s</w:t>
      </w:r>
      <w:r w:rsidR="00D2786A">
        <w:t xml:space="preserve"> that </w:t>
      </w:r>
      <w:r w:rsidR="00980436" w:rsidRPr="00980436">
        <w:rPr>
          <w:lang w:val="en-GB"/>
        </w:rPr>
        <w:t xml:space="preserve">the author </w:t>
      </w:r>
      <w:r w:rsidR="00BE44B9" w:rsidRPr="008E1C43">
        <w:t xml:space="preserve">would in all likelihood be able to purchase </w:t>
      </w:r>
      <w:r w:rsidR="00325D86">
        <w:rPr>
          <w:lang w:val="en-GB"/>
        </w:rPr>
        <w:t>antiretroviral medications</w:t>
      </w:r>
      <w:r w:rsidR="00BE44B9" w:rsidRPr="008E1C43">
        <w:t xml:space="preserve"> </w:t>
      </w:r>
      <w:r w:rsidR="00325D86">
        <w:rPr>
          <w:lang w:val="en-US"/>
        </w:rPr>
        <w:t xml:space="preserve">for </w:t>
      </w:r>
      <w:r w:rsidR="00BE44B9" w:rsidRPr="008E1C43">
        <w:t xml:space="preserve">most </w:t>
      </w:r>
      <w:r w:rsidR="00E83D3A">
        <w:t>of his life in Zimbabwe and w</w:t>
      </w:r>
      <w:r w:rsidR="00E83D3A" w:rsidRPr="00E83D3A">
        <w:rPr>
          <w:lang w:val="en-GB"/>
        </w:rPr>
        <w:t>ould</w:t>
      </w:r>
      <w:r w:rsidR="00BE44B9" w:rsidRPr="008E1C43">
        <w:t xml:space="preserve"> not be a </w:t>
      </w:r>
      <w:r w:rsidR="00BE44B9" w:rsidRPr="00463D7C">
        <w:t xml:space="preserve">stranger to the </w:t>
      </w:r>
      <w:r w:rsidR="00D2786A" w:rsidRPr="00463D7C">
        <w:t xml:space="preserve">social/health </w:t>
      </w:r>
      <w:r w:rsidR="00BE44B9" w:rsidRPr="0059227B">
        <w:t>system</w:t>
      </w:r>
      <w:r w:rsidR="00D2786A">
        <w:t>; that</w:t>
      </w:r>
      <w:r w:rsidR="00E83D3A">
        <w:t xml:space="preserve"> he </w:t>
      </w:r>
      <w:r w:rsidR="00E83D3A" w:rsidRPr="00E83D3A">
        <w:rPr>
          <w:lang w:val="en-GB"/>
        </w:rPr>
        <w:t>was</w:t>
      </w:r>
      <w:r w:rsidR="00BE44B9" w:rsidRPr="008E1C43">
        <w:t>, by his own account, highly educated and a successful businessman</w:t>
      </w:r>
      <w:r w:rsidR="00D2786A">
        <w:t>; that h</w:t>
      </w:r>
      <w:r w:rsidR="00BE44B9" w:rsidRPr="008E1C43">
        <w:t>is health appears to be good despite his HIV-positive status</w:t>
      </w:r>
      <w:r w:rsidR="00A818CB" w:rsidRPr="00EF7D62">
        <w:rPr>
          <w:lang w:val="en-GB"/>
        </w:rPr>
        <w:t>;</w:t>
      </w:r>
      <w:r w:rsidR="00E83D3A">
        <w:t xml:space="preserve"> and that he ha</w:t>
      </w:r>
      <w:r w:rsidR="00325D86">
        <w:rPr>
          <w:lang w:val="en-GB"/>
        </w:rPr>
        <w:t>s</w:t>
      </w:r>
      <w:r w:rsidR="006B56DE">
        <w:t xml:space="preserve"> family in</w:t>
      </w:r>
      <w:r w:rsidR="00BE44B9" w:rsidRPr="008E1C43">
        <w:t xml:space="preserve"> Zimbabwe. All these factors suggest that </w:t>
      </w:r>
      <w:r w:rsidR="00325D86">
        <w:rPr>
          <w:lang w:val="en-US"/>
        </w:rPr>
        <w:t>the author</w:t>
      </w:r>
      <w:r w:rsidR="00325D86" w:rsidRPr="008E1C43">
        <w:t xml:space="preserve"> </w:t>
      </w:r>
      <w:r w:rsidR="00325D86">
        <w:rPr>
          <w:lang w:val="en-US"/>
        </w:rPr>
        <w:t>would</w:t>
      </w:r>
      <w:r w:rsidR="00325D86" w:rsidRPr="008E1C43">
        <w:t xml:space="preserve"> </w:t>
      </w:r>
      <w:r w:rsidR="00BE44B9" w:rsidRPr="008E1C43">
        <w:t xml:space="preserve">be </w:t>
      </w:r>
      <w:r w:rsidR="00325D86">
        <w:rPr>
          <w:lang w:val="en-US"/>
        </w:rPr>
        <w:t xml:space="preserve">in a </w:t>
      </w:r>
      <w:r w:rsidR="00BE44B9" w:rsidRPr="008E1C43">
        <w:t xml:space="preserve">better </w:t>
      </w:r>
      <w:r w:rsidR="00325D86">
        <w:rPr>
          <w:lang w:val="en-US"/>
        </w:rPr>
        <w:t>position</w:t>
      </w:r>
      <w:r w:rsidR="00325D86" w:rsidRPr="008E1C43">
        <w:t xml:space="preserve"> </w:t>
      </w:r>
      <w:r w:rsidR="00BE44B9" w:rsidRPr="008E1C43">
        <w:t xml:space="preserve">than the vast majority of Zimbabweans to obtain or create for himself gainful employment such as to afford private </w:t>
      </w:r>
      <w:r w:rsidR="00325D86">
        <w:rPr>
          <w:lang w:val="en-US"/>
        </w:rPr>
        <w:t>antiretroviral</w:t>
      </w:r>
      <w:r w:rsidR="00325D86" w:rsidRPr="008E1C43">
        <w:t xml:space="preserve"> </w:t>
      </w:r>
      <w:r w:rsidR="00BE44B9" w:rsidRPr="008E1C43">
        <w:t>treatment if necessary.</w:t>
      </w:r>
      <w:r w:rsidR="006B56DE">
        <w:t xml:space="preserve"> </w:t>
      </w:r>
    </w:p>
    <w:p w:rsidR="0011312C" w:rsidRPr="0011312C" w:rsidRDefault="00A818CB" w:rsidP="00C213F2">
      <w:pPr>
        <w:pStyle w:val="SingleTxtG"/>
        <w:rPr>
          <w:lang w:val="en-GB"/>
        </w:rPr>
      </w:pPr>
      <w:r>
        <w:rPr>
          <w:lang w:val="en-GB"/>
        </w:rPr>
        <w:t>4.9</w:t>
      </w:r>
      <w:r w:rsidR="00A57236" w:rsidRPr="00A57236">
        <w:rPr>
          <w:lang w:val="en-GB"/>
        </w:rPr>
        <w:tab/>
      </w:r>
      <w:r w:rsidR="004C54FF">
        <w:t xml:space="preserve">The State party </w:t>
      </w:r>
      <w:r w:rsidR="00A159E2">
        <w:t>submit</w:t>
      </w:r>
      <w:r w:rsidR="00325D86">
        <w:rPr>
          <w:lang w:val="en-GB"/>
        </w:rPr>
        <w:t>s</w:t>
      </w:r>
      <w:r w:rsidR="00890F1C">
        <w:t xml:space="preserve"> that the author’s </w:t>
      </w:r>
      <w:r w:rsidR="00325D86">
        <w:rPr>
          <w:lang w:val="en-US"/>
        </w:rPr>
        <w:t>claim</w:t>
      </w:r>
      <w:r w:rsidR="00325D86">
        <w:t xml:space="preserve"> </w:t>
      </w:r>
      <w:r w:rsidR="00890F1C">
        <w:t>that</w:t>
      </w:r>
      <w:r w:rsidR="004C54FF">
        <w:t xml:space="preserve"> he ha</w:t>
      </w:r>
      <w:r w:rsidR="00325D86">
        <w:rPr>
          <w:lang w:val="en-GB"/>
        </w:rPr>
        <w:t>s</w:t>
      </w:r>
      <w:r w:rsidR="00BE44B9" w:rsidRPr="003B4B89">
        <w:t xml:space="preserve"> no family in Zimbabwe </w:t>
      </w:r>
      <w:r w:rsidR="00325D86">
        <w:rPr>
          <w:lang w:val="en-US"/>
        </w:rPr>
        <w:t>was</w:t>
      </w:r>
      <w:r w:rsidR="00325D86">
        <w:t xml:space="preserve"> </w:t>
      </w:r>
      <w:r w:rsidR="00890F1C">
        <w:t xml:space="preserve">unsubstantiated and </w:t>
      </w:r>
      <w:r w:rsidR="00BE44B9" w:rsidRPr="003B4B89">
        <w:t xml:space="preserve">not credible. </w:t>
      </w:r>
      <w:r w:rsidR="00E47FB7">
        <w:rPr>
          <w:lang w:val="en-GB"/>
        </w:rPr>
        <w:t>Firstly</w:t>
      </w:r>
      <w:r w:rsidR="00325D86">
        <w:rPr>
          <w:lang w:val="en-GB"/>
        </w:rPr>
        <w:t>,</w:t>
      </w:r>
      <w:r w:rsidR="00890F1C">
        <w:t xml:space="preserve"> he allege</w:t>
      </w:r>
      <w:r w:rsidR="00325D86">
        <w:rPr>
          <w:lang w:val="en-US"/>
        </w:rPr>
        <w:t>s</w:t>
      </w:r>
      <w:r w:rsidR="00BE44B9" w:rsidRPr="003B4B89">
        <w:t xml:space="preserve"> that his parents </w:t>
      </w:r>
      <w:r w:rsidR="00862B13">
        <w:rPr>
          <w:lang w:val="en-US"/>
        </w:rPr>
        <w:t>are</w:t>
      </w:r>
      <w:r w:rsidR="00862B13">
        <w:t xml:space="preserve"> </w:t>
      </w:r>
      <w:r w:rsidR="00890F1C">
        <w:t>deceased and that he ha</w:t>
      </w:r>
      <w:r w:rsidR="00325D86">
        <w:rPr>
          <w:lang w:val="en-US"/>
        </w:rPr>
        <w:t>s</w:t>
      </w:r>
      <w:r w:rsidR="00BE44B9" w:rsidRPr="003B4B89">
        <w:t xml:space="preserve"> only four siblings, none of </w:t>
      </w:r>
      <w:r w:rsidR="00BE44B9">
        <w:t>whom</w:t>
      </w:r>
      <w:r w:rsidR="00BE44B9" w:rsidRPr="003B4B89">
        <w:t xml:space="preserve"> reside in Zimbabwe.</w:t>
      </w:r>
      <w:r w:rsidR="00BE44B9">
        <w:t xml:space="preserve"> However, in the context of his PRRA application, </w:t>
      </w:r>
      <w:r w:rsidR="00890F1C">
        <w:t>he</w:t>
      </w:r>
      <w:r w:rsidR="00BE44B9">
        <w:t xml:space="preserve"> stated that he had six siblings, of whom five were still alive. He also allege</w:t>
      </w:r>
      <w:r w:rsidR="00BD3839">
        <w:rPr>
          <w:lang w:val="en-US"/>
        </w:rPr>
        <w:t>s</w:t>
      </w:r>
      <w:r w:rsidR="00BE44B9">
        <w:t xml:space="preserve"> that one of his brothers had written to him from Zimbabwe. In his </w:t>
      </w:r>
      <w:r w:rsidR="00E958AB">
        <w:t>humanitarian and compassionate</w:t>
      </w:r>
      <w:r w:rsidR="00BE44B9">
        <w:t xml:space="preserve"> application of November 2007, </w:t>
      </w:r>
      <w:r w:rsidR="00890F1C">
        <w:t>he</w:t>
      </w:r>
      <w:r w:rsidR="00BE44B9">
        <w:t xml:space="preserve"> indicated that he had three nephews in Zimbabwe. </w:t>
      </w:r>
      <w:r w:rsidR="00890F1C">
        <w:t>He</w:t>
      </w:r>
      <w:r w:rsidR="00BE44B9">
        <w:t xml:space="preserve"> also </w:t>
      </w:r>
      <w:r w:rsidR="00BD3839">
        <w:rPr>
          <w:lang w:val="en-US"/>
        </w:rPr>
        <w:t>told</w:t>
      </w:r>
      <w:r w:rsidR="00BD3839">
        <w:t xml:space="preserve"> </w:t>
      </w:r>
      <w:r w:rsidR="00BE44B9">
        <w:t>Canadian immigration officials that his mother-in-law and sister-in-law, who liv</w:t>
      </w:r>
      <w:r w:rsidR="00890F1C">
        <w:t>e 60 miles north of Harare, would</w:t>
      </w:r>
      <w:r w:rsidR="00BE44B9">
        <w:t xml:space="preserve"> meet him on arrival in </w:t>
      </w:r>
      <w:r w:rsidR="00BE44B9">
        <w:lastRenderedPageBreak/>
        <w:t xml:space="preserve">Zimbabwe </w:t>
      </w:r>
      <w:r w:rsidR="00BD3839">
        <w:rPr>
          <w:lang w:val="en-US"/>
        </w:rPr>
        <w:t>should he be</w:t>
      </w:r>
      <w:r w:rsidR="00BE44B9">
        <w:t xml:space="preserve"> removed. </w:t>
      </w:r>
      <w:r w:rsidR="00D352AF" w:rsidRPr="00D352AF">
        <w:rPr>
          <w:lang w:val="en-GB"/>
        </w:rPr>
        <w:t>Against this background, he</w:t>
      </w:r>
      <w:r w:rsidR="00BE44B9">
        <w:t xml:space="preserve"> can be expected to benefit from family support</w:t>
      </w:r>
      <w:r w:rsidR="00BD3839">
        <w:rPr>
          <w:lang w:val="en-US"/>
        </w:rPr>
        <w:t>,</w:t>
      </w:r>
      <w:r w:rsidR="00BE44B9">
        <w:t xml:space="preserve"> </w:t>
      </w:r>
      <w:r w:rsidR="00BD3839">
        <w:t xml:space="preserve">including for the purposes of obtaining </w:t>
      </w:r>
      <w:r w:rsidR="00BD3839">
        <w:rPr>
          <w:lang w:val="en-US"/>
        </w:rPr>
        <w:t>antiretroviral</w:t>
      </w:r>
      <w:r w:rsidR="00BD3839">
        <w:t xml:space="preserve"> treatment</w:t>
      </w:r>
      <w:r w:rsidR="00BD3839">
        <w:rPr>
          <w:lang w:val="en-US"/>
        </w:rPr>
        <w:t>,</w:t>
      </w:r>
      <w:r w:rsidR="00BD3839">
        <w:t xml:space="preserve"> </w:t>
      </w:r>
      <w:r w:rsidR="00BE44B9">
        <w:t xml:space="preserve">if </w:t>
      </w:r>
      <w:r w:rsidR="00BD3839">
        <w:rPr>
          <w:lang w:val="en-US"/>
        </w:rPr>
        <w:t xml:space="preserve">he were </w:t>
      </w:r>
      <w:r w:rsidR="00BE44B9">
        <w:t>removed to Zimbabwe.</w:t>
      </w:r>
    </w:p>
    <w:p w:rsidR="0011312C" w:rsidRPr="00F2542C" w:rsidRDefault="0069594F" w:rsidP="00C213F2">
      <w:pPr>
        <w:pStyle w:val="SingleTxtG"/>
        <w:rPr>
          <w:lang w:val="en-GB"/>
        </w:rPr>
      </w:pPr>
      <w:r>
        <w:rPr>
          <w:lang w:val="en-GB"/>
        </w:rPr>
        <w:t>4.1</w:t>
      </w:r>
      <w:r w:rsidR="00E47FB7">
        <w:rPr>
          <w:lang w:val="en-GB"/>
        </w:rPr>
        <w:t>0</w:t>
      </w:r>
      <w:r w:rsidR="0011312C">
        <w:rPr>
          <w:lang w:val="en-GB"/>
        </w:rPr>
        <w:tab/>
      </w:r>
      <w:r w:rsidR="0064096F">
        <w:t>With regard to the author’s allegations under article 17</w:t>
      </w:r>
      <w:r w:rsidR="00BD3839">
        <w:rPr>
          <w:lang w:val="en-US"/>
        </w:rPr>
        <w:t xml:space="preserve"> </w:t>
      </w:r>
      <w:r w:rsidR="0064096F">
        <w:t xml:space="preserve">(1) and 23 of the Covenant, the State party maintains that they should be </w:t>
      </w:r>
      <w:r w:rsidR="00BA4E13">
        <w:t xml:space="preserve">declared inadmissible for failure to sufficiently substantiate </w:t>
      </w:r>
      <w:r w:rsidR="00BD3839">
        <w:rPr>
          <w:lang w:val="en-US"/>
        </w:rPr>
        <w:t>his</w:t>
      </w:r>
      <w:r w:rsidR="00BD3839">
        <w:t xml:space="preserve"> </w:t>
      </w:r>
      <w:r w:rsidR="00BA4E13">
        <w:t>claims. The author’s removal from the State party</w:t>
      </w:r>
      <w:r w:rsidR="00344789" w:rsidRPr="00AF1775">
        <w:t xml:space="preserve"> would interfere </w:t>
      </w:r>
      <w:r w:rsidR="00BD3839">
        <w:rPr>
          <w:lang w:val="en-US"/>
        </w:rPr>
        <w:t>with</w:t>
      </w:r>
      <w:r w:rsidR="00BD3839" w:rsidRPr="00AF1775">
        <w:t xml:space="preserve"> </w:t>
      </w:r>
      <w:r w:rsidR="00344789" w:rsidRPr="00AF1775">
        <w:t>his family relations</w:t>
      </w:r>
      <w:r w:rsidR="00344789">
        <w:t xml:space="preserve"> insofar as his wife and children would in all likelihood choose to remain in Canada</w:t>
      </w:r>
      <w:r w:rsidR="00BA4E13">
        <w:t>. However, the impact of this measure ha</w:t>
      </w:r>
      <w:r w:rsidR="00BD3839">
        <w:rPr>
          <w:lang w:val="en-US"/>
        </w:rPr>
        <w:t>s</w:t>
      </w:r>
      <w:r w:rsidR="00BA4E13">
        <w:t xml:space="preserve"> been assessed </w:t>
      </w:r>
      <w:r w:rsidR="00BD3839">
        <w:t xml:space="preserve">in a thorough and effective fashion </w:t>
      </w:r>
      <w:r w:rsidR="00BA4E13">
        <w:t xml:space="preserve">by the authorities </w:t>
      </w:r>
      <w:r w:rsidR="00344789" w:rsidRPr="00AF1775">
        <w:t>in the context</w:t>
      </w:r>
      <w:r w:rsidR="002506EE" w:rsidRPr="002506EE">
        <w:rPr>
          <w:lang w:val="en-GB"/>
        </w:rPr>
        <w:t xml:space="preserve"> of</w:t>
      </w:r>
      <w:r w:rsidR="00344789" w:rsidRPr="00AF1775">
        <w:t xml:space="preserve"> his </w:t>
      </w:r>
      <w:r w:rsidR="00E958AB">
        <w:t>humanitarian and compassionate</w:t>
      </w:r>
      <w:r w:rsidR="00344789" w:rsidRPr="00AF1775">
        <w:t xml:space="preserve"> application and his request to defer removal. </w:t>
      </w:r>
      <w:r w:rsidR="00BA4E13">
        <w:t>In this regard</w:t>
      </w:r>
      <w:r w:rsidR="00BD3839">
        <w:rPr>
          <w:lang w:val="en-US"/>
        </w:rPr>
        <w:t>,</w:t>
      </w:r>
      <w:r w:rsidR="00BA4E13">
        <w:t xml:space="preserve"> t</w:t>
      </w:r>
      <w:r w:rsidR="00344789" w:rsidRPr="00AF1775">
        <w:t xml:space="preserve">he decision to remove </w:t>
      </w:r>
      <w:r w:rsidR="00BA4E13">
        <w:t>the author</w:t>
      </w:r>
      <w:r w:rsidR="00344789" w:rsidRPr="00AF1775">
        <w:t xml:space="preserve"> </w:t>
      </w:r>
      <w:r w:rsidR="00BD3839">
        <w:rPr>
          <w:lang w:val="en-US"/>
        </w:rPr>
        <w:t>despite</w:t>
      </w:r>
      <w:r w:rsidR="00BD3839" w:rsidRPr="00AF1775">
        <w:t xml:space="preserve"> </w:t>
      </w:r>
      <w:r w:rsidR="00344789" w:rsidRPr="00AF1775">
        <w:t xml:space="preserve">his family connections in Canada was motivated by several considerations, including his history of separation from his family since arriving in Canada, </w:t>
      </w:r>
      <w:r w:rsidR="00BA4E13">
        <w:t xml:space="preserve">his wife’s </w:t>
      </w:r>
      <w:r w:rsidR="00344789" w:rsidRPr="00AF1775">
        <w:t xml:space="preserve">demonstrated ability to care for her children as a single mother, the lack of any evidence of </w:t>
      </w:r>
      <w:r w:rsidR="00BA4E13">
        <w:t>the author</w:t>
      </w:r>
      <w:r w:rsidR="00344789" w:rsidRPr="00AF1775">
        <w:t xml:space="preserve">’s involvement in his children’s upbringing and the lack of any submissions regarding </w:t>
      </w:r>
      <w:r w:rsidR="00BA4E13">
        <w:t>his</w:t>
      </w:r>
      <w:r w:rsidR="00344789" w:rsidRPr="00AF1775">
        <w:t xml:space="preserve"> three other children with his two other partners. Accordingly, </w:t>
      </w:r>
      <w:r w:rsidR="00BA4E13">
        <w:t xml:space="preserve">the author’s removal cannot be </w:t>
      </w:r>
      <w:r w:rsidR="00344789" w:rsidRPr="00AF1775">
        <w:t>considered either unlawful or arbitrary for the purposes of articles 17 and 23</w:t>
      </w:r>
      <w:r w:rsidR="00344789" w:rsidRPr="00BA4E13">
        <w:t xml:space="preserve">. </w:t>
      </w:r>
      <w:r w:rsidR="00652231">
        <w:t>T</w:t>
      </w:r>
      <w:r w:rsidR="00344789">
        <w:t>he</w:t>
      </w:r>
      <w:r w:rsidR="00652231">
        <w:t xml:space="preserve"> </w:t>
      </w:r>
      <w:r w:rsidR="00344789">
        <w:t xml:space="preserve">charges against </w:t>
      </w:r>
      <w:r w:rsidR="00652231">
        <w:t>the author</w:t>
      </w:r>
      <w:r w:rsidR="00344789">
        <w:t xml:space="preserve"> for assault on his wife give additional support to the conclusion reached by </w:t>
      </w:r>
      <w:r w:rsidR="00BD3839">
        <w:rPr>
          <w:lang w:val="en-US"/>
        </w:rPr>
        <w:t>the State party</w:t>
      </w:r>
      <w:r w:rsidR="00BD3839">
        <w:t xml:space="preserve"> </w:t>
      </w:r>
      <w:r w:rsidR="00344789">
        <w:t xml:space="preserve">authorities. These charges, while not yet proven in court, are consistent with previous charges of domestic violence laid against </w:t>
      </w:r>
      <w:r w:rsidR="00652231">
        <w:t>the author</w:t>
      </w:r>
      <w:r w:rsidR="00344789">
        <w:t xml:space="preserve"> in the cont</w:t>
      </w:r>
      <w:r w:rsidR="0011312C">
        <w:t>ext of two other relationships.</w:t>
      </w:r>
    </w:p>
    <w:p w:rsidR="0011312C" w:rsidRPr="00E47FB7" w:rsidRDefault="0069594F" w:rsidP="00C213F2">
      <w:pPr>
        <w:pStyle w:val="SingleTxtG"/>
        <w:rPr>
          <w:lang w:val="en-GB"/>
        </w:rPr>
      </w:pPr>
      <w:r>
        <w:rPr>
          <w:lang w:val="en-GB"/>
        </w:rPr>
        <w:t>4.1</w:t>
      </w:r>
      <w:r w:rsidR="00E47FB7">
        <w:rPr>
          <w:lang w:val="en-GB"/>
        </w:rPr>
        <w:t>1</w:t>
      </w:r>
      <w:r w:rsidR="001B7D49">
        <w:rPr>
          <w:lang w:val="en-GB"/>
        </w:rPr>
        <w:tab/>
      </w:r>
      <w:r w:rsidR="002506EE">
        <w:rPr>
          <w:lang w:val="en-GB"/>
        </w:rPr>
        <w:t>T</w:t>
      </w:r>
      <w:r w:rsidR="00F2542C">
        <w:rPr>
          <w:lang w:val="en-GB"/>
        </w:rPr>
        <w:t>he author’s</w:t>
      </w:r>
      <w:r w:rsidR="00344789" w:rsidRPr="006B5BC7">
        <w:t xml:space="preserve"> removal would</w:t>
      </w:r>
      <w:r w:rsidR="00344789">
        <w:t xml:space="preserve">, in the circumstances, </w:t>
      </w:r>
      <w:r w:rsidR="00344789" w:rsidRPr="006B5BC7">
        <w:t xml:space="preserve">constitute a reasonable interference in his family life and would be a proportionate means of achieving legitimate purposes </w:t>
      </w:r>
      <w:r w:rsidR="00344789" w:rsidRPr="00F2542C">
        <w:t xml:space="preserve">under the Covenant. </w:t>
      </w:r>
      <w:r w:rsidR="009A4984" w:rsidRPr="00F2542C">
        <w:t>The</w:t>
      </w:r>
      <w:r w:rsidR="009A4984">
        <w:t xml:space="preserve"> author </w:t>
      </w:r>
      <w:r w:rsidR="00344789">
        <w:t>cannot claim to ever have had any expectation of main</w:t>
      </w:r>
      <w:r w:rsidR="00F2542C">
        <w:t>taining a family life in Canada</w:t>
      </w:r>
      <w:r w:rsidR="00F2542C" w:rsidRPr="00F2542C">
        <w:rPr>
          <w:lang w:val="en-GB"/>
        </w:rPr>
        <w:t xml:space="preserve"> since he never obtained</w:t>
      </w:r>
      <w:r w:rsidR="00344789">
        <w:t xml:space="preserve"> any legal status in </w:t>
      </w:r>
      <w:r w:rsidR="0075400B">
        <w:t>the State party</w:t>
      </w:r>
      <w:r w:rsidR="00344789">
        <w:t xml:space="preserve"> which could have led him to expect that he would remain in th</w:t>
      </w:r>
      <w:r w:rsidR="00BD3839">
        <w:rPr>
          <w:lang w:val="en-US"/>
        </w:rPr>
        <w:t>e</w:t>
      </w:r>
      <w:r w:rsidR="00344789">
        <w:t xml:space="preserve"> country.</w:t>
      </w:r>
      <w:r w:rsidR="00344789" w:rsidRPr="009B3268">
        <w:rPr>
          <w:rStyle w:val="FootnoteReference"/>
        </w:rPr>
        <w:footnoteReference w:id="16"/>
      </w:r>
      <w:r w:rsidR="00344789">
        <w:t xml:space="preserve"> </w:t>
      </w:r>
      <w:r w:rsidR="002506EE">
        <w:rPr>
          <w:lang w:val="en-GB"/>
        </w:rPr>
        <w:t>Furthermore</w:t>
      </w:r>
      <w:r w:rsidR="001B7D49" w:rsidRPr="001B7D49">
        <w:rPr>
          <w:lang w:val="en-GB"/>
        </w:rPr>
        <w:t xml:space="preserve">, he failed to submit </w:t>
      </w:r>
      <w:r w:rsidR="001B7D49">
        <w:rPr>
          <w:lang w:val="en-GB"/>
        </w:rPr>
        <w:t xml:space="preserve">relevant and sufficient </w:t>
      </w:r>
      <w:r w:rsidR="001B7D49" w:rsidRPr="001B7D49">
        <w:rPr>
          <w:lang w:val="en-GB"/>
        </w:rPr>
        <w:t xml:space="preserve">evidence </w:t>
      </w:r>
      <w:r w:rsidR="002506EE">
        <w:rPr>
          <w:lang w:val="en-GB"/>
        </w:rPr>
        <w:t>showing that he is</w:t>
      </w:r>
      <w:r w:rsidR="001B7D49">
        <w:rPr>
          <w:lang w:val="en-GB"/>
        </w:rPr>
        <w:t xml:space="preserve"> active</w:t>
      </w:r>
      <w:r w:rsidR="00E47FB7">
        <w:rPr>
          <w:lang w:val="en-GB"/>
        </w:rPr>
        <w:t>ly involved in his family as</w:t>
      </w:r>
      <w:r w:rsidR="001B7D49">
        <w:rPr>
          <w:lang w:val="en-GB"/>
        </w:rPr>
        <w:t xml:space="preserve"> husband and fat</w:t>
      </w:r>
      <w:r w:rsidR="00E47FB7">
        <w:rPr>
          <w:lang w:val="en-GB"/>
        </w:rPr>
        <w:t>her</w:t>
      </w:r>
      <w:r w:rsidR="00344789" w:rsidRPr="004E41C6">
        <w:t xml:space="preserve">. </w:t>
      </w:r>
      <w:r w:rsidR="00E47FB7">
        <w:rPr>
          <w:lang w:val="en-GB"/>
        </w:rPr>
        <w:t xml:space="preserve">On the contrary, </w:t>
      </w:r>
      <w:r w:rsidR="001B7D49">
        <w:t>available evidence shows</w:t>
      </w:r>
      <w:r w:rsidR="001B7D49" w:rsidRPr="001B7D49">
        <w:rPr>
          <w:lang w:val="en-GB"/>
        </w:rPr>
        <w:t xml:space="preserve"> that</w:t>
      </w:r>
      <w:r w:rsidR="00344789">
        <w:t xml:space="preserve"> </w:t>
      </w:r>
      <w:r w:rsidR="00772524">
        <w:t>the author’s</w:t>
      </w:r>
      <w:r w:rsidR="00344789">
        <w:t xml:space="preserve"> criminal activities have had a negative impact on his children’s lives. In particular, his and his wife’s arrests </w:t>
      </w:r>
      <w:r w:rsidR="00BD3839">
        <w:rPr>
          <w:lang w:val="en-US"/>
        </w:rPr>
        <w:t xml:space="preserve">in </w:t>
      </w:r>
      <w:r w:rsidR="00BD3839">
        <w:t xml:space="preserve">2007 </w:t>
      </w:r>
      <w:r w:rsidR="00344789">
        <w:t xml:space="preserve">and </w:t>
      </w:r>
      <w:r w:rsidR="00BD3839">
        <w:rPr>
          <w:lang w:val="en-US"/>
        </w:rPr>
        <w:t xml:space="preserve">convictions for </w:t>
      </w:r>
      <w:r w:rsidR="00344789">
        <w:t xml:space="preserve">fraud resulted in their children being placed in foster care for a period of six months and remaining under the protection of the </w:t>
      </w:r>
      <w:r w:rsidR="00BD3839">
        <w:rPr>
          <w:lang w:val="en-US"/>
        </w:rPr>
        <w:t>Children’s Aid Society</w:t>
      </w:r>
      <w:r w:rsidR="00BD3839">
        <w:t xml:space="preserve"> </w:t>
      </w:r>
      <w:r w:rsidR="00344789">
        <w:t xml:space="preserve">until March 2009. According to the </w:t>
      </w:r>
      <w:r w:rsidR="00BD3839">
        <w:rPr>
          <w:lang w:val="en-US"/>
        </w:rPr>
        <w:t>Society,</w:t>
      </w:r>
      <w:r w:rsidR="00EC2932">
        <w:t xml:space="preserve"> </w:t>
      </w:r>
      <w:r w:rsidR="00344789">
        <w:t xml:space="preserve">the family had a history of concerns including transiency, not following through with medical appointments and medications prescribed for the children and the father having been involved </w:t>
      </w:r>
      <w:r w:rsidR="00EC2932">
        <w:t>in fraud</w:t>
      </w:r>
      <w:r w:rsidR="00BD3839">
        <w:rPr>
          <w:lang w:val="en-US"/>
        </w:rPr>
        <w:t>-</w:t>
      </w:r>
      <w:r w:rsidR="00EC2932">
        <w:t>related charges.</w:t>
      </w:r>
      <w:r w:rsidR="00344789">
        <w:rPr>
          <w:rStyle w:val="FootnoteReference"/>
          <w:color w:val="000000"/>
        </w:rPr>
        <w:footnoteReference w:id="17"/>
      </w:r>
      <w:r w:rsidR="00344789">
        <w:t xml:space="preserve"> The fact that his children’s health </w:t>
      </w:r>
      <w:r w:rsidR="002506EE" w:rsidRPr="002506EE">
        <w:rPr>
          <w:lang w:val="en-GB"/>
        </w:rPr>
        <w:t>was</w:t>
      </w:r>
      <w:r w:rsidR="00344789">
        <w:t xml:space="preserve"> neglected in this way is inconsistent with the presence of a father figure that plays an active part in his children’s lives. </w:t>
      </w:r>
      <w:r w:rsidR="002506EE" w:rsidRPr="002506EE">
        <w:rPr>
          <w:lang w:val="en-GB"/>
        </w:rPr>
        <w:t>I</w:t>
      </w:r>
      <w:r w:rsidR="00772524">
        <w:t>n</w:t>
      </w:r>
      <w:r w:rsidR="00EC2932">
        <w:t xml:space="preserve"> the context of </w:t>
      </w:r>
      <w:r w:rsidR="00EC2932" w:rsidRPr="00EC2932">
        <w:rPr>
          <w:lang w:val="en-GB"/>
        </w:rPr>
        <w:t>the</w:t>
      </w:r>
      <w:r w:rsidR="00344789" w:rsidRPr="00BF04E5">
        <w:t xml:space="preserve"> domestic proceedings, </w:t>
      </w:r>
      <w:r w:rsidR="00772524">
        <w:t>the author</w:t>
      </w:r>
      <w:r w:rsidR="00344789" w:rsidRPr="00BF04E5">
        <w:t xml:space="preserve"> never expressed </w:t>
      </w:r>
      <w:r w:rsidR="00344789">
        <w:t xml:space="preserve">any </w:t>
      </w:r>
      <w:r w:rsidR="00772524">
        <w:t xml:space="preserve">interest </w:t>
      </w:r>
      <w:r w:rsidR="00772524" w:rsidRPr="00E47FB7">
        <w:t xml:space="preserve">in </w:t>
      </w:r>
      <w:r w:rsidR="00862B13">
        <w:rPr>
          <w:lang w:val="en-US"/>
        </w:rPr>
        <w:t>the</w:t>
      </w:r>
      <w:r w:rsidR="00862B13" w:rsidRPr="00E47FB7">
        <w:t xml:space="preserve"> </w:t>
      </w:r>
      <w:r w:rsidR="00344789" w:rsidRPr="00E47FB7">
        <w:t xml:space="preserve">children </w:t>
      </w:r>
      <w:r w:rsidR="00772524" w:rsidRPr="00E47FB7">
        <w:t xml:space="preserve">from his extramarital relationships </w:t>
      </w:r>
      <w:r w:rsidR="00344789" w:rsidRPr="00E47FB7">
        <w:t>and never submitted any evidence to suggest that he</w:t>
      </w:r>
      <w:r w:rsidR="00344789">
        <w:t xml:space="preserve"> contributed in any w</w:t>
      </w:r>
      <w:r w:rsidR="00772524">
        <w:t>ay to their care and upbringing</w:t>
      </w:r>
      <w:r w:rsidR="00344789">
        <w:t>.</w:t>
      </w:r>
    </w:p>
    <w:p w:rsidR="008B5066" w:rsidRPr="00EF7D62" w:rsidRDefault="0069594F" w:rsidP="00C213F2">
      <w:pPr>
        <w:pStyle w:val="SingleTxtG"/>
        <w:rPr>
          <w:i/>
          <w:u w:val="single"/>
          <w:lang w:val="en-GB"/>
        </w:rPr>
      </w:pPr>
      <w:r>
        <w:rPr>
          <w:lang w:val="en-GB"/>
        </w:rPr>
        <w:t>4.1</w:t>
      </w:r>
      <w:r w:rsidR="00E47FB7">
        <w:rPr>
          <w:lang w:val="en-GB"/>
        </w:rPr>
        <w:t>2</w:t>
      </w:r>
      <w:r w:rsidR="001B7D49" w:rsidRPr="001B7D49">
        <w:rPr>
          <w:lang w:val="en-GB"/>
        </w:rPr>
        <w:tab/>
      </w:r>
      <w:r w:rsidR="002506EE">
        <w:rPr>
          <w:lang w:val="en-GB"/>
        </w:rPr>
        <w:t>I</w:t>
      </w:r>
      <w:r w:rsidR="00B5394D" w:rsidRPr="001B7D49">
        <w:t>n these circumstances, the author’s</w:t>
      </w:r>
      <w:r w:rsidR="00344789" w:rsidRPr="001B7D49">
        <w:t xml:space="preserve"> removal to Zimbabwe would constitute a reasonable interference in his family life and would be a proportionate mean</w:t>
      </w:r>
      <w:r w:rsidR="00BD3839">
        <w:rPr>
          <w:lang w:val="en-US"/>
        </w:rPr>
        <w:t>s</w:t>
      </w:r>
      <w:r w:rsidR="00344789" w:rsidRPr="001B7D49">
        <w:t xml:space="preserve"> of achieving legitimate purposes under the Covenant, namely</w:t>
      </w:r>
      <w:r w:rsidR="00344789">
        <w:t xml:space="preserve"> protecting society from </w:t>
      </w:r>
      <w:r w:rsidR="00B5394D">
        <w:t>the author</w:t>
      </w:r>
      <w:r w:rsidR="00344789">
        <w:t xml:space="preserve"> and ensuring the integrity of </w:t>
      </w:r>
      <w:r w:rsidR="00BD3839">
        <w:rPr>
          <w:lang w:val="en-US"/>
        </w:rPr>
        <w:t>the</w:t>
      </w:r>
      <w:r w:rsidR="00BD3839">
        <w:t xml:space="preserve"> </w:t>
      </w:r>
      <w:r w:rsidR="00344789">
        <w:t>immigration system</w:t>
      </w:r>
      <w:r w:rsidR="00BD3839">
        <w:rPr>
          <w:lang w:val="en-US"/>
        </w:rPr>
        <w:t xml:space="preserve"> of the State party</w:t>
      </w:r>
      <w:r w:rsidR="00344789">
        <w:t xml:space="preserve">. </w:t>
      </w:r>
      <w:r w:rsidR="00B5394D">
        <w:t>T</w:t>
      </w:r>
      <w:r w:rsidR="00344789">
        <w:t xml:space="preserve">he effects of this interference on </w:t>
      </w:r>
      <w:r w:rsidR="00B5394D">
        <w:t>the author</w:t>
      </w:r>
      <w:r w:rsidR="00344789">
        <w:t xml:space="preserve"> would not be excessive in relation to the harm sought to be prevented by his removal. </w:t>
      </w:r>
      <w:r w:rsidR="00344789" w:rsidRPr="00DB477E">
        <w:t xml:space="preserve">He would be likely to reoffend if he were </w:t>
      </w:r>
      <w:r w:rsidR="00344789">
        <w:t xml:space="preserve">allowed </w:t>
      </w:r>
      <w:r w:rsidR="00344789" w:rsidRPr="00DB477E">
        <w:t xml:space="preserve">to remain in </w:t>
      </w:r>
      <w:r w:rsidR="00616238">
        <w:t>the State party</w:t>
      </w:r>
      <w:r w:rsidR="00BD3839">
        <w:rPr>
          <w:lang w:val="en-US"/>
        </w:rPr>
        <w:t>,</w:t>
      </w:r>
      <w:r w:rsidR="00344789" w:rsidRPr="00DB477E">
        <w:t xml:space="preserve"> with the result that he would face ever</w:t>
      </w:r>
      <w:r w:rsidR="00BD3839">
        <w:rPr>
          <w:lang w:val="en-US"/>
        </w:rPr>
        <w:t>-</w:t>
      </w:r>
      <w:r w:rsidR="00344789" w:rsidRPr="00DB477E">
        <w:t xml:space="preserve">longer periods of incarceration and separation from his family. This would impose an </w:t>
      </w:r>
      <w:r w:rsidR="00344789">
        <w:t>unreasonable</w:t>
      </w:r>
      <w:r w:rsidR="00344789" w:rsidRPr="00DB477E">
        <w:t xml:space="preserve"> burden on </w:t>
      </w:r>
      <w:r w:rsidR="00344789">
        <w:t>the justice system</w:t>
      </w:r>
      <w:r w:rsidR="00344789" w:rsidRPr="00DB477E">
        <w:t>, while contributing only marginally</w:t>
      </w:r>
      <w:r w:rsidR="00344789">
        <w:t xml:space="preserve">, if at all, </w:t>
      </w:r>
      <w:r w:rsidR="00344789" w:rsidRPr="00DB477E">
        <w:t xml:space="preserve">to </w:t>
      </w:r>
      <w:r w:rsidR="00616238">
        <w:t>his</w:t>
      </w:r>
      <w:r w:rsidR="00344789" w:rsidRPr="00DB477E">
        <w:t xml:space="preserve"> family life.</w:t>
      </w:r>
    </w:p>
    <w:p w:rsidR="001F493D" w:rsidRPr="003832DC" w:rsidRDefault="001F493D" w:rsidP="001F493D">
      <w:pPr>
        <w:pStyle w:val="H23G"/>
        <w:spacing w:line="240" w:lineRule="auto"/>
      </w:pPr>
      <w:r w:rsidRPr="003832DC">
        <w:rPr>
          <w:color w:val="FF0000"/>
        </w:rPr>
        <w:lastRenderedPageBreak/>
        <w:tab/>
      </w:r>
      <w:r>
        <w:tab/>
        <w:t>Author’</w:t>
      </w:r>
      <w:r w:rsidR="009E120D">
        <w:t>s</w:t>
      </w:r>
      <w:r w:rsidRPr="003832DC">
        <w:t xml:space="preserve"> comments on the State party’s observations</w:t>
      </w:r>
    </w:p>
    <w:p w:rsidR="009E120D" w:rsidRPr="00EF7D62" w:rsidRDefault="001F493D" w:rsidP="00C213F2">
      <w:pPr>
        <w:pStyle w:val="SingleTxtG"/>
        <w:rPr>
          <w:lang w:val="en-GB"/>
        </w:rPr>
      </w:pPr>
      <w:r>
        <w:t>5.1</w:t>
      </w:r>
      <w:r w:rsidRPr="003832DC">
        <w:tab/>
      </w:r>
      <w:r w:rsidR="00862B13">
        <w:rPr>
          <w:lang w:val="en-US"/>
        </w:rPr>
        <w:t xml:space="preserve">In a </w:t>
      </w:r>
      <w:r w:rsidR="0017747E">
        <w:rPr>
          <w:lang w:val="en-US"/>
        </w:rPr>
        <w:t>letter</w:t>
      </w:r>
      <w:r w:rsidR="00862B13">
        <w:rPr>
          <w:lang w:val="en-US"/>
        </w:rPr>
        <w:t xml:space="preserve"> dated</w:t>
      </w:r>
      <w:r w:rsidR="00862B13" w:rsidRPr="003832DC">
        <w:t xml:space="preserve"> </w:t>
      </w:r>
      <w:r w:rsidRPr="003832DC">
        <w:t>1</w:t>
      </w:r>
      <w:r w:rsidR="009E120D">
        <w:t>6 February 2012</w:t>
      </w:r>
      <w:r w:rsidRPr="003832DC">
        <w:t>, the author submitted</w:t>
      </w:r>
      <w:r w:rsidR="00BD3839">
        <w:rPr>
          <w:lang w:val="en-US"/>
        </w:rPr>
        <w:t>, through his counsel,</w:t>
      </w:r>
      <w:r w:rsidRPr="003832DC">
        <w:t xml:space="preserve"> </w:t>
      </w:r>
      <w:r w:rsidR="009E120D">
        <w:t>his</w:t>
      </w:r>
      <w:r w:rsidRPr="003832DC">
        <w:t xml:space="preserve"> comments on the State party’s observations on </w:t>
      </w:r>
      <w:r w:rsidRPr="00B94FB2">
        <w:t>admissibility</w:t>
      </w:r>
      <w:r w:rsidRPr="003832DC">
        <w:t xml:space="preserve"> and </w:t>
      </w:r>
      <w:r w:rsidR="00BD3839">
        <w:rPr>
          <w:lang w:val="en-US"/>
        </w:rPr>
        <w:t xml:space="preserve">the </w:t>
      </w:r>
      <w:r w:rsidRPr="003832DC">
        <w:t xml:space="preserve">merits. </w:t>
      </w:r>
      <w:r w:rsidR="00057C0F">
        <w:t xml:space="preserve">The counsel informed the Committee that despite prior arrangements with the author, </w:t>
      </w:r>
      <w:r w:rsidR="00BD3839">
        <w:rPr>
          <w:lang w:val="en-US"/>
        </w:rPr>
        <w:t>s</w:t>
      </w:r>
      <w:r w:rsidR="00057C0F">
        <w:t xml:space="preserve">he was unable to contact </w:t>
      </w:r>
      <w:r w:rsidR="00492F60">
        <w:t>him after his removal to Zimbabwe</w:t>
      </w:r>
      <w:r w:rsidR="00057C0F">
        <w:t>. He reiterated</w:t>
      </w:r>
      <w:r w:rsidR="009E120D">
        <w:t xml:space="preserve"> the allegations subm</w:t>
      </w:r>
      <w:r w:rsidR="00057C0F">
        <w:t>itted in the</w:t>
      </w:r>
      <w:r w:rsidR="009E120D">
        <w:t xml:space="preserve"> original communication.</w:t>
      </w:r>
    </w:p>
    <w:p w:rsidR="000D0EC0" w:rsidRDefault="00A818CB" w:rsidP="00C213F2">
      <w:pPr>
        <w:pStyle w:val="SingleTxtG"/>
      </w:pPr>
      <w:r>
        <w:t>5.2</w:t>
      </w:r>
      <w:r w:rsidR="00A7216D">
        <w:tab/>
      </w:r>
      <w:r w:rsidR="008615B1">
        <w:rPr>
          <w:lang w:val="en-US"/>
        </w:rPr>
        <w:t>The counsel submits that t</w:t>
      </w:r>
      <w:r w:rsidR="00A7216D">
        <w:t xml:space="preserve">he author </w:t>
      </w:r>
      <w:r w:rsidR="00642167">
        <w:t>exhausted all effective and domestic remedies. The application for judicial review to the Federal Cour</w:t>
      </w:r>
      <w:r w:rsidR="003756F2">
        <w:t>t against</w:t>
      </w:r>
      <w:r w:rsidR="00642167">
        <w:t xml:space="preserve"> the </w:t>
      </w:r>
      <w:r w:rsidR="003756F2">
        <w:t xml:space="preserve">decision </w:t>
      </w:r>
      <w:r w:rsidR="00A3454A">
        <w:rPr>
          <w:lang w:val="en-US"/>
        </w:rPr>
        <w:t>of the Immigration and Refug</w:t>
      </w:r>
      <w:r w:rsidR="008D5206">
        <w:rPr>
          <w:lang w:val="en-US"/>
        </w:rPr>
        <w:t xml:space="preserve">ee Board </w:t>
      </w:r>
      <w:r w:rsidR="003756F2">
        <w:t xml:space="preserve">in relation </w:t>
      </w:r>
      <w:r w:rsidR="008D5206">
        <w:rPr>
          <w:lang w:val="en-US"/>
        </w:rPr>
        <w:t>to</w:t>
      </w:r>
      <w:r w:rsidR="008D5206">
        <w:t xml:space="preserve"> </w:t>
      </w:r>
      <w:r w:rsidR="003756F2">
        <w:t>his ap</w:t>
      </w:r>
      <w:r w:rsidR="00384EFB">
        <w:t>plication for refugee protection</w:t>
      </w:r>
      <w:r w:rsidR="003756F2">
        <w:t xml:space="preserve"> is not an effective remedy</w:t>
      </w:r>
      <w:r w:rsidR="00384EFB">
        <w:t xml:space="preserve"> since there is no reasonable prospect of success. </w:t>
      </w:r>
      <w:r w:rsidR="000D0EC0">
        <w:t>The Federal Court’s competence on judicial review is very limited. Access to judicial review of decisions under immigration legislation is subject to a leave requirement</w:t>
      </w:r>
      <w:r w:rsidR="00307918">
        <w:t xml:space="preserve"> </w:t>
      </w:r>
      <w:r w:rsidR="000D0EC0">
        <w:t xml:space="preserve">that </w:t>
      </w:r>
      <w:r w:rsidR="00307918">
        <w:t xml:space="preserve">is </w:t>
      </w:r>
      <w:r w:rsidR="000D0EC0">
        <w:t>interpreted inconsistently by the Court</w:t>
      </w:r>
      <w:r w:rsidR="00384EFB">
        <w:t>, leading to arbitrariness</w:t>
      </w:r>
      <w:r w:rsidR="00307918">
        <w:t>.</w:t>
      </w:r>
      <w:r w:rsidR="000D0EC0">
        <w:t xml:space="preserve"> </w:t>
      </w:r>
      <w:r w:rsidR="00307918">
        <w:t>Furthermore, leave for judicial review is granted in about 10</w:t>
      </w:r>
      <w:r w:rsidR="008615B1">
        <w:rPr>
          <w:lang w:val="en-US"/>
        </w:rPr>
        <w:t xml:space="preserve"> per cent</w:t>
      </w:r>
      <w:r w:rsidR="00307918">
        <w:t xml:space="preserve"> of applications and only 0.4</w:t>
      </w:r>
      <w:r w:rsidR="008615B1">
        <w:rPr>
          <w:lang w:val="en-US"/>
        </w:rPr>
        <w:t xml:space="preserve"> per cent</w:t>
      </w:r>
      <w:r w:rsidR="00307918">
        <w:t xml:space="preserve"> of the </w:t>
      </w:r>
      <w:r w:rsidR="008615B1">
        <w:rPr>
          <w:lang w:val="en-US"/>
        </w:rPr>
        <w:t>Board</w:t>
      </w:r>
      <w:r w:rsidR="008615B1">
        <w:t xml:space="preserve">’s </w:t>
      </w:r>
      <w:r w:rsidR="00307918">
        <w:t>decisions are overturned by the Federal Court.</w:t>
      </w:r>
      <w:r w:rsidR="00307918">
        <w:rPr>
          <w:rStyle w:val="FootnoteReference"/>
          <w:lang w:val="en-GB"/>
        </w:rPr>
        <w:footnoteReference w:id="18"/>
      </w:r>
      <w:r w:rsidR="00307918">
        <w:t xml:space="preserve"> </w:t>
      </w:r>
      <w:r w:rsidR="00536EEA">
        <w:t>T</w:t>
      </w:r>
      <w:r w:rsidR="00CB1DAF">
        <w:t xml:space="preserve">he competence of the Federal Court </w:t>
      </w:r>
      <w:r w:rsidR="008615B1">
        <w:rPr>
          <w:lang w:val="en-US"/>
        </w:rPr>
        <w:t xml:space="preserve">in </w:t>
      </w:r>
      <w:r w:rsidR="00CB1DAF">
        <w:t xml:space="preserve">examining a judicial review is limited to gross errors such as errors of jurisdiction, failure to observe a principle </w:t>
      </w:r>
      <w:r w:rsidR="008615B1">
        <w:rPr>
          <w:lang w:val="en-US"/>
        </w:rPr>
        <w:t xml:space="preserve">of </w:t>
      </w:r>
      <w:r w:rsidR="00CB1DAF">
        <w:t xml:space="preserve">natural justice or other procedure required by law, errors of law and findings of fact made in a perverse or capricious manner or without regard for the material before the Board. </w:t>
      </w:r>
    </w:p>
    <w:p w:rsidR="000D0EC0" w:rsidRPr="009B3268" w:rsidRDefault="00072BF4" w:rsidP="00C213F2">
      <w:pPr>
        <w:pStyle w:val="SingleTxtG"/>
        <w:rPr>
          <w:lang w:val="en-US"/>
        </w:rPr>
      </w:pPr>
      <w:r>
        <w:t>5.3</w:t>
      </w:r>
      <w:r w:rsidR="00536EEA">
        <w:tab/>
        <w:t xml:space="preserve">Regarding PRRA, </w:t>
      </w:r>
      <w:r w:rsidR="00A7216D">
        <w:t xml:space="preserve">it </w:t>
      </w:r>
      <w:r w:rsidR="008615B1">
        <w:rPr>
          <w:lang w:val="en-US"/>
        </w:rPr>
        <w:t>is</w:t>
      </w:r>
      <w:r w:rsidR="008615B1">
        <w:t xml:space="preserve"> </w:t>
      </w:r>
      <w:r w:rsidR="00A7216D">
        <w:t xml:space="preserve">argued that </w:t>
      </w:r>
      <w:r w:rsidR="008615B1">
        <w:rPr>
          <w:lang w:val="en-US"/>
        </w:rPr>
        <w:t>such an</w:t>
      </w:r>
      <w:r w:rsidR="008615B1">
        <w:t xml:space="preserve"> </w:t>
      </w:r>
      <w:r w:rsidR="00536EEA">
        <w:t>application in itself should not be considered an effective remedy since it is rarely successful. I</w:t>
      </w:r>
      <w:r w:rsidR="00A7216D">
        <w:t xml:space="preserve">n the alternative, </w:t>
      </w:r>
      <w:r w:rsidR="00536EEA">
        <w:t>t</w:t>
      </w:r>
      <w:r w:rsidR="00384EFB">
        <w:t>he application for judicia</w:t>
      </w:r>
      <w:r w:rsidR="00A7216D">
        <w:t>l review to the Federal Court is</w:t>
      </w:r>
      <w:r w:rsidR="00384EFB">
        <w:t xml:space="preserve"> not an available remedy against a </w:t>
      </w:r>
      <w:r w:rsidR="008615B1">
        <w:t xml:space="preserve">negative </w:t>
      </w:r>
      <w:r w:rsidR="00384EFB">
        <w:t>PRRA decision.</w:t>
      </w:r>
      <w:r w:rsidR="00EF4008">
        <w:t xml:space="preserve"> </w:t>
      </w:r>
      <w:r w:rsidR="00A7216D">
        <w:t xml:space="preserve">In the author’s case, </w:t>
      </w:r>
      <w:r w:rsidR="00EF4008">
        <w:t>the PRRA evaluation in its</w:t>
      </w:r>
      <w:r w:rsidR="00A7216D">
        <w:t xml:space="preserve">elf was not an effective remedy since </w:t>
      </w:r>
      <w:r w:rsidR="00EF4008">
        <w:t>the authorities that considered his PRRA application did not conduct a thor</w:t>
      </w:r>
      <w:r w:rsidR="00A7216D">
        <w:t>ough and adequate investigation</w:t>
      </w:r>
      <w:r w:rsidR="00EA3BC0">
        <w:t xml:space="preserve">. Therefore, the evaluation carried out by the authorities within the </w:t>
      </w:r>
      <w:r w:rsidR="004173E8">
        <w:rPr>
          <w:lang w:val="en-US"/>
        </w:rPr>
        <w:t xml:space="preserve">context of the </w:t>
      </w:r>
      <w:r w:rsidR="00EA3BC0">
        <w:t>PRRA decision amounted to an arbitrary evalu</w:t>
      </w:r>
      <w:r w:rsidR="00A7216D">
        <w:t>ation and a denial of justice.</w:t>
      </w:r>
      <w:r w:rsidR="008615B1">
        <w:rPr>
          <w:lang w:val="en-US"/>
        </w:rPr>
        <w:t xml:space="preserve"> </w:t>
      </w:r>
    </w:p>
    <w:p w:rsidR="00576D1C" w:rsidRDefault="00072BF4" w:rsidP="00C213F2">
      <w:pPr>
        <w:pStyle w:val="SingleTxtG"/>
      </w:pPr>
      <w:r>
        <w:t>5.4</w:t>
      </w:r>
      <w:r w:rsidR="00576D1C">
        <w:tab/>
      </w:r>
      <w:r w:rsidR="002506EE">
        <w:t>T</w:t>
      </w:r>
      <w:r w:rsidR="00097A47">
        <w:t>he deportation of the author to Zimbabwe created a real and foreseeable risk of irreparable harm, in violation of his rights under article</w:t>
      </w:r>
      <w:r w:rsidR="002506EE">
        <w:t>s</w:t>
      </w:r>
      <w:r w:rsidR="00097A47">
        <w:t xml:space="preserve"> 6</w:t>
      </w:r>
      <w:r w:rsidR="008615B1">
        <w:rPr>
          <w:lang w:val="en-US"/>
        </w:rPr>
        <w:t xml:space="preserve"> </w:t>
      </w:r>
      <w:r w:rsidR="00097A47">
        <w:t xml:space="preserve">(1) and 7 of the Covenant, as submitted in his original communication. </w:t>
      </w:r>
      <w:r w:rsidR="002506EE">
        <w:t>T</w:t>
      </w:r>
      <w:r w:rsidR="00097A47">
        <w:t>he political situation in Zimbabwe remain</w:t>
      </w:r>
      <w:r w:rsidR="008615B1">
        <w:rPr>
          <w:lang w:val="en-US"/>
        </w:rPr>
        <w:t>s</w:t>
      </w:r>
      <w:r w:rsidR="00097A47">
        <w:t xml:space="preserve"> fragile and the State party itself recognize</w:t>
      </w:r>
      <w:r w:rsidR="008615B1">
        <w:rPr>
          <w:lang w:val="en-US"/>
        </w:rPr>
        <w:t>s</w:t>
      </w:r>
      <w:r w:rsidR="00097A47">
        <w:t xml:space="preserve"> this situation</w:t>
      </w:r>
      <w:r w:rsidR="008615B1">
        <w:rPr>
          <w:lang w:val="en-US"/>
        </w:rPr>
        <w:t>, for example</w:t>
      </w:r>
      <w:r w:rsidR="00097A47">
        <w:t xml:space="preserve"> by having a m</w:t>
      </w:r>
      <w:r w:rsidR="0002344B">
        <w:t>oratorium on deportations and</w:t>
      </w:r>
      <w:r w:rsidR="00097A47">
        <w:t xml:space="preserve"> banning the export of arms and related material to Zimbabwe. </w:t>
      </w:r>
    </w:p>
    <w:p w:rsidR="0002344B" w:rsidRPr="00EF7D62" w:rsidRDefault="00072BF4" w:rsidP="00C213F2">
      <w:pPr>
        <w:pStyle w:val="SingleTxtG"/>
        <w:rPr>
          <w:lang w:val="en-GB"/>
        </w:rPr>
      </w:pPr>
      <w:r>
        <w:t>5.5</w:t>
      </w:r>
      <w:r w:rsidR="0002344B">
        <w:tab/>
      </w:r>
      <w:r w:rsidR="002506EE">
        <w:t>T</w:t>
      </w:r>
      <w:r w:rsidR="0002344B">
        <w:t xml:space="preserve">he author </w:t>
      </w:r>
      <w:r w:rsidR="008615B1">
        <w:rPr>
          <w:lang w:val="en-US"/>
        </w:rPr>
        <w:t>will</w:t>
      </w:r>
      <w:r w:rsidR="008615B1">
        <w:t xml:space="preserve"> </w:t>
      </w:r>
      <w:r w:rsidR="0002344B">
        <w:t xml:space="preserve">not be able to </w:t>
      </w:r>
      <w:r w:rsidR="00CD343C">
        <w:t xml:space="preserve">access or </w:t>
      </w:r>
      <w:r w:rsidR="0002344B">
        <w:t xml:space="preserve">afford </w:t>
      </w:r>
      <w:r w:rsidR="008615B1">
        <w:rPr>
          <w:lang w:val="en-US"/>
        </w:rPr>
        <w:t>antiretroviral medications</w:t>
      </w:r>
      <w:r w:rsidR="008615B1">
        <w:t xml:space="preserve"> </w:t>
      </w:r>
      <w:r w:rsidR="00CD343C">
        <w:t>in Zimbabwe</w:t>
      </w:r>
      <w:r w:rsidR="0002344B">
        <w:t xml:space="preserve">. Having lived outside Zimbabwe for more than 14 years, and in </w:t>
      </w:r>
      <w:r w:rsidR="008615B1">
        <w:rPr>
          <w:lang w:val="en-US"/>
        </w:rPr>
        <w:t xml:space="preserve">the </w:t>
      </w:r>
      <w:r w:rsidR="0002344B">
        <w:t xml:space="preserve">light of his health condition, it is unlikely that he will be able to get a job or set up a business. According to the World Bank, the per </w:t>
      </w:r>
      <w:r w:rsidR="0002344B" w:rsidRPr="005C1329">
        <w:t>capita</w:t>
      </w:r>
      <w:r w:rsidR="0002344B">
        <w:t xml:space="preserve"> </w:t>
      </w:r>
      <w:r w:rsidR="008615B1">
        <w:rPr>
          <w:lang w:val="en-US"/>
        </w:rPr>
        <w:t>g</w:t>
      </w:r>
      <w:r w:rsidR="0002344B">
        <w:t xml:space="preserve">ross </w:t>
      </w:r>
      <w:r w:rsidR="008615B1">
        <w:rPr>
          <w:lang w:val="en-US"/>
        </w:rPr>
        <w:t>n</w:t>
      </w:r>
      <w:r w:rsidR="0002344B">
        <w:t xml:space="preserve">ational </w:t>
      </w:r>
      <w:r w:rsidR="008615B1">
        <w:rPr>
          <w:lang w:val="en-US"/>
        </w:rPr>
        <w:t>i</w:t>
      </w:r>
      <w:r w:rsidR="0002344B">
        <w:t xml:space="preserve">ncome in Zimbabwe is just over </w:t>
      </w:r>
      <w:r w:rsidR="0002344B" w:rsidRPr="008615B1">
        <w:t>US$</w:t>
      </w:r>
      <w:r w:rsidR="008615B1" w:rsidRPr="009B3268">
        <w:rPr>
          <w:lang w:val="en-US"/>
        </w:rPr>
        <w:t xml:space="preserve"> </w:t>
      </w:r>
      <w:r w:rsidR="0002344B" w:rsidRPr="008615B1">
        <w:t>38</w:t>
      </w:r>
      <w:r w:rsidR="0002344B">
        <w:t xml:space="preserve">. Therefore, it </w:t>
      </w:r>
      <w:r w:rsidR="008615B1">
        <w:rPr>
          <w:lang w:val="en-US"/>
        </w:rPr>
        <w:t>can</w:t>
      </w:r>
      <w:r w:rsidR="00A7216D">
        <w:t>not</w:t>
      </w:r>
      <w:r w:rsidR="0002344B">
        <w:t xml:space="preserve"> be assumed that a person can earn a sufficient wage to </w:t>
      </w:r>
      <w:r w:rsidR="008615B1">
        <w:rPr>
          <w:lang w:val="en-US"/>
        </w:rPr>
        <w:t xml:space="preserve">be able to </w:t>
      </w:r>
      <w:r w:rsidR="0002344B">
        <w:t xml:space="preserve">afford the monthly cost of </w:t>
      </w:r>
      <w:r w:rsidR="008615B1">
        <w:rPr>
          <w:lang w:val="en-US"/>
        </w:rPr>
        <w:t>antiretroviral medications</w:t>
      </w:r>
      <w:r w:rsidR="008615B1">
        <w:t xml:space="preserve"> </w:t>
      </w:r>
      <w:r w:rsidR="004173E8">
        <w:rPr>
          <w:lang w:val="en-US"/>
        </w:rPr>
        <w:t xml:space="preserve">as </w:t>
      </w:r>
      <w:r w:rsidR="0002344B">
        <w:t>indicated by the State party (</w:t>
      </w:r>
      <w:r w:rsidR="008615B1">
        <w:rPr>
          <w:lang w:val="en-US"/>
        </w:rPr>
        <w:t>US</w:t>
      </w:r>
      <w:r w:rsidR="000D3758" w:rsidRPr="008615B1">
        <w:t>$</w:t>
      </w:r>
      <w:r w:rsidR="008615B1">
        <w:rPr>
          <w:lang w:val="en-US"/>
        </w:rPr>
        <w:t xml:space="preserve"> </w:t>
      </w:r>
      <w:r w:rsidR="0002344B" w:rsidRPr="008615B1">
        <w:t>30</w:t>
      </w:r>
      <w:r w:rsidR="0002344B">
        <w:t>)</w:t>
      </w:r>
      <w:r w:rsidR="00A7216D">
        <w:t>. In addition, the author ha</w:t>
      </w:r>
      <w:r w:rsidR="008615B1">
        <w:rPr>
          <w:lang w:val="en-US"/>
        </w:rPr>
        <w:t>s</w:t>
      </w:r>
      <w:r w:rsidR="000073AD">
        <w:t xml:space="preserve"> no immediate family in Zimbabwe</w:t>
      </w:r>
      <w:r w:rsidR="00A7216D">
        <w:t>.</w:t>
      </w:r>
    </w:p>
    <w:p w:rsidR="002611ED" w:rsidRPr="009B3268" w:rsidRDefault="00072BF4" w:rsidP="00C213F2">
      <w:pPr>
        <w:pStyle w:val="SingleTxtG"/>
        <w:rPr>
          <w:lang w:val="en-US"/>
        </w:rPr>
      </w:pPr>
      <w:r>
        <w:t>5.6</w:t>
      </w:r>
      <w:r w:rsidR="002611ED" w:rsidRPr="002611ED">
        <w:tab/>
      </w:r>
      <w:r w:rsidR="002506EE">
        <w:t>T</w:t>
      </w:r>
      <w:r w:rsidR="002611ED" w:rsidRPr="002611ED">
        <w:t>he State party also violated the author’s rights under article 14</w:t>
      </w:r>
      <w:r w:rsidR="008615B1">
        <w:rPr>
          <w:lang w:val="en-US"/>
        </w:rPr>
        <w:t xml:space="preserve"> </w:t>
      </w:r>
      <w:r w:rsidR="002611ED" w:rsidRPr="002611ED">
        <w:t>(1)</w:t>
      </w:r>
      <w:r w:rsidR="008615B1">
        <w:rPr>
          <w:lang w:val="en-US"/>
        </w:rPr>
        <w:t xml:space="preserve"> </w:t>
      </w:r>
      <w:r w:rsidR="002611ED" w:rsidRPr="002611ED">
        <w:t>(2) and (3</w:t>
      </w:r>
      <w:r w:rsidR="008615B1">
        <w:rPr>
          <w:lang w:val="en-US"/>
        </w:rPr>
        <w:t>) (</w:t>
      </w:r>
      <w:r w:rsidR="002611ED" w:rsidRPr="002611ED">
        <w:t>c) of the</w:t>
      </w:r>
      <w:r w:rsidR="00A7216D">
        <w:t xml:space="preserve"> Covenant. </w:t>
      </w:r>
      <w:r w:rsidR="004173E8">
        <w:rPr>
          <w:lang w:val="en-US"/>
        </w:rPr>
        <w:t>It</w:t>
      </w:r>
      <w:r w:rsidR="002611ED">
        <w:t xml:space="preserve"> failed to provide a reasonable or objective ground </w:t>
      </w:r>
      <w:r w:rsidR="008615B1">
        <w:rPr>
          <w:lang w:val="en-US"/>
        </w:rPr>
        <w:t>for</w:t>
      </w:r>
      <w:r w:rsidR="002611ED">
        <w:t xml:space="preserve"> its decision to deport the author prior to giving him a fair and public trial in regard to the charges </w:t>
      </w:r>
      <w:r>
        <w:t xml:space="preserve">laid </w:t>
      </w:r>
      <w:r w:rsidR="008615B1">
        <w:t xml:space="preserve">against him </w:t>
      </w:r>
      <w:r>
        <w:t xml:space="preserve">on 30 May 2011 </w:t>
      </w:r>
      <w:r w:rsidR="002611ED">
        <w:t xml:space="preserve">for assault related to </w:t>
      </w:r>
      <w:r w:rsidR="00BF3C9D">
        <w:rPr>
          <w:lang w:val="en-US"/>
        </w:rPr>
        <w:t xml:space="preserve">alleged </w:t>
      </w:r>
      <w:r w:rsidR="002611ED">
        <w:t xml:space="preserve">domestic violence against his wife. </w:t>
      </w:r>
      <w:r w:rsidR="00384392">
        <w:t>Therefore, the State party did not provide t</w:t>
      </w:r>
      <w:r w:rsidR="002611ED">
        <w:t xml:space="preserve">he author </w:t>
      </w:r>
      <w:r w:rsidR="00384392">
        <w:t>with a</w:t>
      </w:r>
      <w:r w:rsidR="002611ED">
        <w:t xml:space="preserve"> fair </w:t>
      </w:r>
      <w:r w:rsidR="00384392">
        <w:t>trial</w:t>
      </w:r>
      <w:r w:rsidR="002611ED">
        <w:t xml:space="preserve"> by a competent, independent and impartial tribunal</w:t>
      </w:r>
      <w:r w:rsidR="00384392">
        <w:t>, in violation of his rights under article 14</w:t>
      </w:r>
      <w:r w:rsidR="00BF3C9D">
        <w:rPr>
          <w:lang w:val="en-US"/>
        </w:rPr>
        <w:t xml:space="preserve"> </w:t>
      </w:r>
      <w:r w:rsidR="00384392">
        <w:t>(1)</w:t>
      </w:r>
      <w:r w:rsidR="002611ED">
        <w:t xml:space="preserve">. </w:t>
      </w:r>
      <w:r w:rsidR="00384392">
        <w:t xml:space="preserve">The State party relies on unproven charges against the author, despite the fact that there was no determination </w:t>
      </w:r>
      <w:r w:rsidR="00384392">
        <w:lastRenderedPageBreak/>
        <w:t>concerning th</w:t>
      </w:r>
      <w:r w:rsidR="00BF3C9D">
        <w:rPr>
          <w:lang w:val="en-US"/>
        </w:rPr>
        <w:t>o</w:t>
      </w:r>
      <w:r w:rsidR="00384392">
        <w:t>se charges</w:t>
      </w:r>
      <w:r w:rsidR="002506EE">
        <w:t>.</w:t>
      </w:r>
      <w:r w:rsidR="00384392">
        <w:t xml:space="preserve"> In </w:t>
      </w:r>
      <w:r w:rsidR="00BF3C9D">
        <w:rPr>
          <w:lang w:val="en-US"/>
        </w:rPr>
        <w:t xml:space="preserve">the </w:t>
      </w:r>
      <w:r w:rsidR="00384392">
        <w:t>light of the right to be presumed innocent enshrined in article 14</w:t>
      </w:r>
      <w:r w:rsidR="00BF3C9D">
        <w:rPr>
          <w:lang w:val="en-US"/>
        </w:rPr>
        <w:t xml:space="preserve"> </w:t>
      </w:r>
      <w:r w:rsidR="00384392">
        <w:t>(2), t</w:t>
      </w:r>
      <w:r w:rsidR="002611ED">
        <w:t>he fact that the author was charged with assault against his wife should not be considered by the Committee in deciding th</w:t>
      </w:r>
      <w:r w:rsidR="00BF3C9D">
        <w:rPr>
          <w:lang w:val="en-US"/>
        </w:rPr>
        <w:t>e</w:t>
      </w:r>
      <w:r w:rsidR="002611ED">
        <w:t xml:space="preserve"> case. </w:t>
      </w:r>
      <w:r w:rsidR="008033EC">
        <w:t>Regarding article 14</w:t>
      </w:r>
      <w:r w:rsidR="00BF3C9D">
        <w:rPr>
          <w:lang w:val="en-US"/>
        </w:rPr>
        <w:t xml:space="preserve"> </w:t>
      </w:r>
      <w:r w:rsidR="008033EC">
        <w:t>(3</w:t>
      </w:r>
      <w:r w:rsidR="00BF3C9D">
        <w:rPr>
          <w:lang w:val="en-US"/>
        </w:rPr>
        <w:t>) (</w:t>
      </w:r>
      <w:r w:rsidR="008033EC">
        <w:t xml:space="preserve">c), it is argued that </w:t>
      </w:r>
      <w:r w:rsidR="00BF3C9D">
        <w:rPr>
          <w:lang w:val="en-US"/>
        </w:rPr>
        <w:t>the author’s</w:t>
      </w:r>
      <w:r w:rsidR="00BF3C9D">
        <w:t xml:space="preserve"> </w:t>
      </w:r>
      <w:r w:rsidR="008033EC">
        <w:t xml:space="preserve">removal to Zimbabwe has caused an undue delay in the proceedings in which he was charged with assault. He was unable to defend himself and to appear </w:t>
      </w:r>
      <w:r w:rsidR="00A818CB">
        <w:t>in court in person.</w:t>
      </w:r>
      <w:r w:rsidR="00BF3C9D">
        <w:rPr>
          <w:lang w:val="en-US"/>
        </w:rPr>
        <w:t xml:space="preserve"> </w:t>
      </w:r>
    </w:p>
    <w:p w:rsidR="00E25624" w:rsidRPr="00EF7D62" w:rsidRDefault="00072BF4" w:rsidP="00A818CB">
      <w:pPr>
        <w:pStyle w:val="SingleTxtG"/>
        <w:rPr>
          <w:lang w:val="en-GB"/>
        </w:rPr>
      </w:pPr>
      <w:r>
        <w:t>5.7</w:t>
      </w:r>
      <w:r w:rsidR="00AA7348">
        <w:tab/>
        <w:t>Regarding the author’s claims under articles 17 and 23</w:t>
      </w:r>
      <w:r w:rsidR="00BF3C9D">
        <w:rPr>
          <w:lang w:val="en-US"/>
        </w:rPr>
        <w:t xml:space="preserve"> </w:t>
      </w:r>
      <w:r w:rsidR="00AA7348">
        <w:t xml:space="preserve">(1), </w:t>
      </w:r>
      <w:r w:rsidR="005303CC">
        <w:t xml:space="preserve">it </w:t>
      </w:r>
      <w:r w:rsidR="00BF3C9D">
        <w:rPr>
          <w:lang w:val="en-US"/>
        </w:rPr>
        <w:t>is</w:t>
      </w:r>
      <w:r w:rsidR="00BF3C9D">
        <w:t xml:space="preserve"> </w:t>
      </w:r>
      <w:r w:rsidR="00624D86">
        <w:t xml:space="preserve">argued that the State party relied heavily on the charges </w:t>
      </w:r>
      <w:r w:rsidR="00BF3C9D">
        <w:rPr>
          <w:lang w:val="en-US"/>
        </w:rPr>
        <w:t>of</w:t>
      </w:r>
      <w:r w:rsidR="00BF3C9D">
        <w:t xml:space="preserve"> </w:t>
      </w:r>
      <w:r w:rsidR="00624D86">
        <w:t xml:space="preserve">assault against the author, in which the alleged victim is his wife. However, at the </w:t>
      </w:r>
      <w:r w:rsidR="00BF3C9D">
        <w:rPr>
          <w:lang w:val="en-US"/>
        </w:rPr>
        <w:t>time</w:t>
      </w:r>
      <w:r w:rsidR="00BF3C9D">
        <w:t xml:space="preserve"> </w:t>
      </w:r>
      <w:r w:rsidR="00624D86">
        <w:t xml:space="preserve">the author’s comments were submitted to the Committee, he had not been convicted </w:t>
      </w:r>
      <w:r w:rsidR="00BF3C9D">
        <w:rPr>
          <w:lang w:val="en-US"/>
        </w:rPr>
        <w:t>of</w:t>
      </w:r>
      <w:r w:rsidR="00BF3C9D">
        <w:t xml:space="preserve"> </w:t>
      </w:r>
      <w:r w:rsidR="00624D86">
        <w:t xml:space="preserve">any new criminal offence. </w:t>
      </w:r>
      <w:r w:rsidR="008E0ECA">
        <w:t xml:space="preserve">It </w:t>
      </w:r>
      <w:r w:rsidR="00BF3C9D">
        <w:rPr>
          <w:lang w:val="en-US"/>
        </w:rPr>
        <w:t>is</w:t>
      </w:r>
      <w:r w:rsidR="00BF3C9D">
        <w:t xml:space="preserve"> </w:t>
      </w:r>
      <w:r w:rsidR="008E0ECA">
        <w:t xml:space="preserve">further claimed that the State party </w:t>
      </w:r>
      <w:r w:rsidR="00BF3C9D">
        <w:rPr>
          <w:lang w:val="en-US"/>
        </w:rPr>
        <w:t>did</w:t>
      </w:r>
      <w:r w:rsidR="00BF3C9D">
        <w:t xml:space="preserve"> </w:t>
      </w:r>
      <w:r w:rsidR="008E0ECA">
        <w:t xml:space="preserve">not have a relevant State’s interest in the author’s deportation since he had not been convicted </w:t>
      </w:r>
      <w:r w:rsidR="00BF3C9D">
        <w:rPr>
          <w:lang w:val="en-US"/>
        </w:rPr>
        <w:t>of</w:t>
      </w:r>
      <w:r w:rsidR="00BF3C9D">
        <w:t xml:space="preserve"> </w:t>
      </w:r>
      <w:r w:rsidR="007B49CF">
        <w:rPr>
          <w:lang w:val="en-US"/>
        </w:rPr>
        <w:t xml:space="preserve">a </w:t>
      </w:r>
      <w:r w:rsidR="00D826FF">
        <w:t>violent offence and that, o</w:t>
      </w:r>
      <w:r w:rsidR="008E0ECA">
        <w:t xml:space="preserve">n the other hand, </w:t>
      </w:r>
      <w:r w:rsidR="00BF3C9D">
        <w:rPr>
          <w:lang w:val="en-US"/>
        </w:rPr>
        <w:t>owing</w:t>
      </w:r>
      <w:r w:rsidR="00BF3C9D">
        <w:t xml:space="preserve"> </w:t>
      </w:r>
      <w:r w:rsidR="008E0ECA">
        <w:t>to the permanent nature of th</w:t>
      </w:r>
      <w:r w:rsidR="00BF3C9D">
        <w:rPr>
          <w:lang w:val="en-US"/>
        </w:rPr>
        <w:t>e</w:t>
      </w:r>
      <w:r w:rsidR="008E0ECA">
        <w:t xml:space="preserve"> measure, the author’s family would be dramatically </w:t>
      </w:r>
      <w:r w:rsidR="00BF3C9D">
        <w:rPr>
          <w:lang w:val="en-US"/>
        </w:rPr>
        <w:t>affected</w:t>
      </w:r>
      <w:r w:rsidR="008E0ECA">
        <w:t>.</w:t>
      </w:r>
      <w:r w:rsidR="00D826FF">
        <w:rPr>
          <w:rStyle w:val="FootnoteReference"/>
          <w:color w:val="000000"/>
          <w:lang w:val="en-GB"/>
        </w:rPr>
        <w:footnoteReference w:id="19"/>
      </w:r>
      <w:r w:rsidR="00D826FF">
        <w:t xml:space="preserve"> Therefore, the author’s deportation </w:t>
      </w:r>
      <w:r w:rsidR="005303CC">
        <w:t>should</w:t>
      </w:r>
      <w:r w:rsidR="008A3A3E">
        <w:t xml:space="preserve"> be considered a </w:t>
      </w:r>
      <w:r w:rsidR="00D826FF">
        <w:t>disproportionate</w:t>
      </w:r>
      <w:r w:rsidR="008A3A3E">
        <w:t xml:space="preserve"> measure</w:t>
      </w:r>
      <w:r w:rsidR="00D826FF">
        <w:t xml:space="preserve">, in particular </w:t>
      </w:r>
      <w:r w:rsidR="00BF3C9D">
        <w:rPr>
          <w:lang w:val="en-US"/>
        </w:rPr>
        <w:t>owing</w:t>
      </w:r>
      <w:r w:rsidR="00BF3C9D">
        <w:t xml:space="preserve"> </w:t>
      </w:r>
      <w:r w:rsidR="00D826FF">
        <w:t xml:space="preserve">to the fact that he will be </w:t>
      </w:r>
      <w:r w:rsidR="005303CC">
        <w:t>permanently separated from his</w:t>
      </w:r>
      <w:r w:rsidR="00D826FF">
        <w:t xml:space="preserve"> children and wife</w:t>
      </w:r>
      <w:r w:rsidR="005303CC">
        <w:t xml:space="preserve"> and that he ha</w:t>
      </w:r>
      <w:r w:rsidR="00BF3C9D">
        <w:rPr>
          <w:lang w:val="en-US"/>
        </w:rPr>
        <w:t>s</w:t>
      </w:r>
      <w:r w:rsidR="008A3A3E">
        <w:t xml:space="preserve"> no close relatives </w:t>
      </w:r>
      <w:r w:rsidR="005303CC">
        <w:t>or strong ties in Zimbabwe</w:t>
      </w:r>
      <w:r w:rsidR="008A3A3E">
        <w:t>.</w:t>
      </w:r>
      <w:r w:rsidR="00D826FF">
        <w:t xml:space="preserve"> </w:t>
      </w:r>
      <w:r w:rsidR="005303CC">
        <w:t xml:space="preserve">In Zimbabwe he </w:t>
      </w:r>
      <w:r w:rsidR="00BF3C9D">
        <w:rPr>
          <w:lang w:val="en-US"/>
        </w:rPr>
        <w:t>will</w:t>
      </w:r>
      <w:r w:rsidR="00BF3C9D">
        <w:t xml:space="preserve"> </w:t>
      </w:r>
      <w:r w:rsidR="005303CC">
        <w:t>not be able to keep a close</w:t>
      </w:r>
      <w:r w:rsidR="008E0ECA">
        <w:t xml:space="preserve"> relationship </w:t>
      </w:r>
      <w:r w:rsidR="005303CC">
        <w:t>with his children</w:t>
      </w:r>
      <w:r w:rsidR="008E0ECA">
        <w:t xml:space="preserve">, </w:t>
      </w:r>
      <w:r w:rsidR="00BF3C9D">
        <w:rPr>
          <w:lang w:val="en-US"/>
        </w:rPr>
        <w:t>owing</w:t>
      </w:r>
      <w:r w:rsidR="00BF3C9D">
        <w:t xml:space="preserve"> </w:t>
      </w:r>
      <w:r w:rsidR="008E0ECA">
        <w:t xml:space="preserve">to practical obstacles such as </w:t>
      </w:r>
      <w:r w:rsidR="00BF3C9D">
        <w:rPr>
          <w:lang w:val="en-US"/>
        </w:rPr>
        <w:t xml:space="preserve">the </w:t>
      </w:r>
      <w:r w:rsidR="008E0ECA">
        <w:t xml:space="preserve">poor quality of </w:t>
      </w:r>
      <w:r w:rsidR="00BF3C9D">
        <w:rPr>
          <w:lang w:val="en-US"/>
        </w:rPr>
        <w:t>tele</w:t>
      </w:r>
      <w:r w:rsidR="008E0ECA">
        <w:t xml:space="preserve">phone and </w:t>
      </w:r>
      <w:r w:rsidR="00BF3C9D">
        <w:rPr>
          <w:lang w:val="en-US"/>
        </w:rPr>
        <w:t>I</w:t>
      </w:r>
      <w:r w:rsidR="008E0ECA">
        <w:t>nternet services and high</w:t>
      </w:r>
      <w:r w:rsidR="00D826FF">
        <w:t xml:space="preserve"> </w:t>
      </w:r>
      <w:r w:rsidR="00BF3C9D">
        <w:rPr>
          <w:lang w:val="en-US"/>
        </w:rPr>
        <w:t>tele</w:t>
      </w:r>
      <w:r w:rsidR="00D826FF">
        <w:t>phone fees.</w:t>
      </w:r>
      <w:r w:rsidR="00672CFD">
        <w:t xml:space="preserve"> </w:t>
      </w:r>
      <w:r w:rsidR="00D826FF">
        <w:t xml:space="preserve">In addition, in </w:t>
      </w:r>
      <w:r w:rsidR="00BF3C9D">
        <w:rPr>
          <w:lang w:val="en-US"/>
        </w:rPr>
        <w:t xml:space="preserve">the </w:t>
      </w:r>
      <w:r w:rsidR="00D826FF">
        <w:t xml:space="preserve">light of </w:t>
      </w:r>
      <w:r w:rsidR="005303CC">
        <w:t>his wife’s and daughter’s</w:t>
      </w:r>
      <w:r w:rsidR="00D826FF">
        <w:t xml:space="preserve"> need for HIV treatment, the fact that </w:t>
      </w:r>
      <w:r w:rsidR="00BF3C9D">
        <w:rPr>
          <w:lang w:val="en-US"/>
        </w:rPr>
        <w:t>five</w:t>
      </w:r>
      <w:r w:rsidR="00D826FF">
        <w:t xml:space="preserve"> of his children attend school in Canada, the cost of a family visit to Zimbabwe and the political situation in Zimbabwe, it would</w:t>
      </w:r>
      <w:r w:rsidR="005303CC">
        <w:t xml:space="preserve"> be unlikely that the family could</w:t>
      </w:r>
      <w:r w:rsidR="00D826FF">
        <w:t xml:space="preserve"> visit him in Zimbabwe.</w:t>
      </w:r>
    </w:p>
    <w:p w:rsidR="001F493D" w:rsidRPr="003832DC" w:rsidRDefault="001F493D" w:rsidP="001F493D">
      <w:pPr>
        <w:pStyle w:val="H23G"/>
        <w:spacing w:line="240" w:lineRule="auto"/>
      </w:pPr>
      <w:r w:rsidRPr="003832DC">
        <w:tab/>
      </w:r>
      <w:r w:rsidRPr="003832DC">
        <w:tab/>
        <w:t>Issues and proceedings before the Committee</w:t>
      </w:r>
    </w:p>
    <w:p w:rsidR="001F493D" w:rsidRPr="00111B81" w:rsidRDefault="001F493D" w:rsidP="001F493D">
      <w:pPr>
        <w:pStyle w:val="H4G"/>
        <w:spacing w:line="240" w:lineRule="auto"/>
      </w:pPr>
      <w:r w:rsidRPr="003832DC">
        <w:tab/>
      </w:r>
      <w:r w:rsidRPr="003832DC">
        <w:tab/>
      </w:r>
      <w:r w:rsidRPr="00111B81">
        <w:t>Consideration of admissibility</w:t>
      </w:r>
    </w:p>
    <w:p w:rsidR="001F493D" w:rsidRPr="00111B81" w:rsidRDefault="001F493D" w:rsidP="006E7493">
      <w:pPr>
        <w:pStyle w:val="SingleTxtG"/>
      </w:pPr>
      <w:r w:rsidRPr="00111B81">
        <w:t>6.1</w:t>
      </w:r>
      <w:r w:rsidRPr="00111B81">
        <w:tab/>
        <w:t xml:space="preserve">Before considering any claims contained in a communication, the Committee must decide, in accordance with rule 93 of its rules of procedure, whether the communication is admissible under the </w:t>
      </w:r>
      <w:r w:rsidRPr="005C1329">
        <w:t>Optional Protocol</w:t>
      </w:r>
      <w:r w:rsidRPr="00111B81">
        <w:t>.</w:t>
      </w:r>
    </w:p>
    <w:p w:rsidR="00B807AC" w:rsidRDefault="001F493D" w:rsidP="006E7493">
      <w:pPr>
        <w:pStyle w:val="SingleTxtG"/>
      </w:pPr>
      <w:r w:rsidRPr="00111B81">
        <w:t>6.2</w:t>
      </w:r>
      <w:r w:rsidRPr="00111B81">
        <w:tab/>
        <w:t xml:space="preserve">The Committee </w:t>
      </w:r>
      <w:r w:rsidR="006E7493" w:rsidRPr="005C1329">
        <w:rPr>
          <w:lang w:val="en-US"/>
        </w:rPr>
        <w:t>has ascertained</w:t>
      </w:r>
      <w:r w:rsidRPr="00111B81">
        <w:t xml:space="preserve">, as required under article 5 </w:t>
      </w:r>
      <w:r w:rsidR="00A65460">
        <w:rPr>
          <w:lang w:val="en-US"/>
        </w:rPr>
        <w:t>(</w:t>
      </w:r>
      <w:r w:rsidRPr="00111B81">
        <w:t>2</w:t>
      </w:r>
      <w:r w:rsidR="00A65460">
        <w:rPr>
          <w:lang w:val="en-US"/>
        </w:rPr>
        <w:t>)</w:t>
      </w:r>
      <w:r w:rsidRPr="00111B81">
        <w:t xml:space="preserve"> (a) of the Optional Protocol, that the same matter is not being examined under any other procedure of international investigation or settlement.</w:t>
      </w:r>
    </w:p>
    <w:p w:rsidR="00B807AC" w:rsidRPr="00B807AC" w:rsidRDefault="00A818CB" w:rsidP="00C213F2">
      <w:pPr>
        <w:pStyle w:val="SingleTxtG"/>
        <w:rPr>
          <w:lang w:val="en-GB"/>
        </w:rPr>
      </w:pPr>
      <w:r>
        <w:rPr>
          <w:lang w:val="en-GB"/>
        </w:rPr>
        <w:t>6.3</w:t>
      </w:r>
      <w:r w:rsidR="00B807AC" w:rsidRPr="00EB4774">
        <w:rPr>
          <w:lang w:val="en-GB"/>
        </w:rPr>
        <w:tab/>
      </w:r>
      <w:r w:rsidR="00B807AC" w:rsidRPr="00EB4774">
        <w:t>With regard to the author’s claim under article 2</w:t>
      </w:r>
      <w:r w:rsidR="00A65460">
        <w:rPr>
          <w:lang w:val="en-US"/>
        </w:rPr>
        <w:t xml:space="preserve"> </w:t>
      </w:r>
      <w:r w:rsidR="00EB4774" w:rsidRPr="00EB4774">
        <w:rPr>
          <w:lang w:val="en-GB"/>
        </w:rPr>
        <w:t>(3)</w:t>
      </w:r>
      <w:r w:rsidR="00B807AC" w:rsidRPr="00EB4774">
        <w:t xml:space="preserve"> of the Covenant regarding the decision to </w:t>
      </w:r>
      <w:r w:rsidR="008A07A3" w:rsidRPr="008A07A3">
        <w:rPr>
          <w:lang w:val="en-GB"/>
        </w:rPr>
        <w:t>remove</w:t>
      </w:r>
      <w:r w:rsidR="00B807AC" w:rsidRPr="00EB4774">
        <w:t xml:space="preserve"> him</w:t>
      </w:r>
      <w:r w:rsidR="008A07A3" w:rsidRPr="008A07A3">
        <w:rPr>
          <w:lang w:val="en-GB"/>
        </w:rPr>
        <w:t xml:space="preserve"> to Zimbabwe</w:t>
      </w:r>
      <w:r w:rsidR="00B807AC" w:rsidRPr="00EB4774">
        <w:t>, the Committee recalls that this provision cannot be invoked independently</w:t>
      </w:r>
      <w:r w:rsidR="00B807AC" w:rsidRPr="00EB4774">
        <w:rPr>
          <w:rStyle w:val="FootnoteReference"/>
        </w:rPr>
        <w:footnoteReference w:id="20"/>
      </w:r>
      <w:r w:rsidR="00B807AC" w:rsidRPr="00EB4774">
        <w:t xml:space="preserve"> and therefore considers this part of the communication to be inadmissible</w:t>
      </w:r>
      <w:r w:rsidR="00EB4774" w:rsidRPr="00EB4774">
        <w:rPr>
          <w:lang w:val="en-GB"/>
        </w:rPr>
        <w:t xml:space="preserve"> </w:t>
      </w:r>
      <w:r w:rsidR="00EB4774" w:rsidRPr="009B3268">
        <w:rPr>
          <w:i/>
          <w:lang w:val="en-GB"/>
        </w:rPr>
        <w:t>ratione materiae</w:t>
      </w:r>
      <w:r w:rsidR="00B807AC" w:rsidRPr="00EB4774">
        <w:t xml:space="preserve"> under article </w:t>
      </w:r>
      <w:r w:rsidR="00EB4774" w:rsidRPr="00EB4774">
        <w:rPr>
          <w:lang w:val="en-GB"/>
        </w:rPr>
        <w:t>3</w:t>
      </w:r>
      <w:r w:rsidR="00B807AC" w:rsidRPr="00EB4774">
        <w:t xml:space="preserve"> of the Optional Protocol.</w:t>
      </w:r>
    </w:p>
    <w:p w:rsidR="00EB4774" w:rsidRPr="009B3268" w:rsidRDefault="00A818CB" w:rsidP="00C213F2">
      <w:pPr>
        <w:pStyle w:val="SingleTxtG"/>
        <w:rPr>
          <w:lang w:val="en-US"/>
        </w:rPr>
      </w:pPr>
      <w:r>
        <w:t>6.4</w:t>
      </w:r>
      <w:r w:rsidR="00EB4774">
        <w:tab/>
        <w:t>The Committee takes note of the author’s allegations under article 14</w:t>
      </w:r>
      <w:r w:rsidR="00A65460">
        <w:rPr>
          <w:lang w:val="en-US"/>
        </w:rPr>
        <w:t xml:space="preserve"> </w:t>
      </w:r>
      <w:r w:rsidR="00EB4774">
        <w:t>(1),</w:t>
      </w:r>
      <w:r w:rsidR="006A0817">
        <w:t xml:space="preserve"> </w:t>
      </w:r>
      <w:r w:rsidR="00EB4774">
        <w:t>(2) and (3</w:t>
      </w:r>
      <w:r w:rsidR="00A65460">
        <w:rPr>
          <w:lang w:val="en-US"/>
        </w:rPr>
        <w:t>) (</w:t>
      </w:r>
      <w:r w:rsidR="00EB4774">
        <w:t>c)</w:t>
      </w:r>
      <w:r w:rsidR="007B49CF">
        <w:rPr>
          <w:lang w:val="en-US"/>
        </w:rPr>
        <w:t xml:space="preserve"> </w:t>
      </w:r>
      <w:r w:rsidR="00EB4774">
        <w:t xml:space="preserve">of </w:t>
      </w:r>
      <w:r w:rsidR="00EB4774" w:rsidRPr="00EB4774">
        <w:t>the Covenant. The Committee</w:t>
      </w:r>
      <w:r w:rsidR="00A65460">
        <w:rPr>
          <w:lang w:val="en-US"/>
        </w:rPr>
        <w:t xml:space="preserve"> </w:t>
      </w:r>
      <w:r w:rsidR="00A65460" w:rsidRPr="00EB4774">
        <w:t>considers</w:t>
      </w:r>
      <w:r w:rsidR="00EB4774" w:rsidRPr="00EB4774">
        <w:t xml:space="preserve">, however, that these allegations </w:t>
      </w:r>
      <w:r w:rsidR="006F700A">
        <w:t xml:space="preserve">were submitted to </w:t>
      </w:r>
      <w:r w:rsidR="006139B1">
        <w:t>it</w:t>
      </w:r>
      <w:r w:rsidR="006F700A">
        <w:t xml:space="preserve"> at a late stage in the proceedings and are unrelated to the claims which constitute the main gist of the communication</w:t>
      </w:r>
      <w:r w:rsidR="005D66C9">
        <w:rPr>
          <w:lang w:val="en-US"/>
        </w:rPr>
        <w:t>,</w:t>
      </w:r>
      <w:r w:rsidR="00D311A8" w:rsidRPr="00D311A8">
        <w:rPr>
          <w:lang w:val="en-GB"/>
        </w:rPr>
        <w:t xml:space="preserve"> and </w:t>
      </w:r>
      <w:r w:rsidR="005D66C9">
        <w:rPr>
          <w:lang w:val="en-GB"/>
        </w:rPr>
        <w:t xml:space="preserve">are </w:t>
      </w:r>
      <w:r w:rsidR="00D311A8" w:rsidRPr="00D311A8">
        <w:rPr>
          <w:lang w:val="en-GB"/>
        </w:rPr>
        <w:t>unsubstantiated</w:t>
      </w:r>
      <w:r w:rsidR="006F700A">
        <w:t xml:space="preserve">. Accordingly, the Committee </w:t>
      </w:r>
      <w:r w:rsidR="00EB4774" w:rsidRPr="00EB4774">
        <w:t xml:space="preserve">finds </w:t>
      </w:r>
      <w:r w:rsidR="00D311A8" w:rsidRPr="009B3268">
        <w:rPr>
          <w:lang w:val="en-US"/>
        </w:rPr>
        <w:t>these allegations</w:t>
      </w:r>
      <w:r w:rsidR="00EB4774" w:rsidRPr="00EB4774">
        <w:t xml:space="preserve"> inadmissible under article 2 of the Optional Protocol.</w:t>
      </w:r>
      <w:r w:rsidR="00A65460">
        <w:rPr>
          <w:lang w:val="en-US"/>
        </w:rPr>
        <w:t xml:space="preserve"> </w:t>
      </w:r>
    </w:p>
    <w:p w:rsidR="00B61F9B" w:rsidRDefault="00EB4774" w:rsidP="00C213F2">
      <w:pPr>
        <w:pStyle w:val="SingleTxtG"/>
      </w:pPr>
      <w:r>
        <w:t>6.5</w:t>
      </w:r>
      <w:r w:rsidR="001F493D" w:rsidRPr="00111B81">
        <w:tab/>
      </w:r>
      <w:r w:rsidR="00C44C31">
        <w:t>The Committee takes note of the State party</w:t>
      </w:r>
      <w:r w:rsidR="007B49CF">
        <w:rPr>
          <w:lang w:val="en-US"/>
        </w:rPr>
        <w:t>’s</w:t>
      </w:r>
      <w:r w:rsidR="00C44C31">
        <w:t xml:space="preserve"> argument that the </w:t>
      </w:r>
      <w:r w:rsidR="008A3947">
        <w:t xml:space="preserve">author has </w:t>
      </w:r>
      <w:r w:rsidR="00C44C31">
        <w:t>failed to exhaust domestic remedies regarding his claims</w:t>
      </w:r>
      <w:r w:rsidR="005D66C9">
        <w:rPr>
          <w:lang w:val="en-US"/>
        </w:rPr>
        <w:t>,</w:t>
      </w:r>
      <w:r w:rsidR="00C44C31">
        <w:t xml:space="preserve"> under articles 6</w:t>
      </w:r>
      <w:r w:rsidR="005D66C9">
        <w:rPr>
          <w:lang w:val="en-US"/>
        </w:rPr>
        <w:t xml:space="preserve"> </w:t>
      </w:r>
      <w:r w:rsidR="00C44C31">
        <w:t xml:space="preserve">(1) and 7 of the Covenant, </w:t>
      </w:r>
      <w:r w:rsidR="005D66C9">
        <w:rPr>
          <w:lang w:val="en-US"/>
        </w:rPr>
        <w:t>that he would be at</w:t>
      </w:r>
      <w:r w:rsidR="005D66C9">
        <w:t xml:space="preserve"> </w:t>
      </w:r>
      <w:r w:rsidR="00C44C31">
        <w:t xml:space="preserve">risk of persecution if deported to Zimbabwe </w:t>
      </w:r>
      <w:r w:rsidR="005D66C9">
        <w:rPr>
          <w:lang w:val="en-US"/>
        </w:rPr>
        <w:t>owing</w:t>
      </w:r>
      <w:r w:rsidR="005D66C9">
        <w:t xml:space="preserve"> </w:t>
      </w:r>
      <w:r w:rsidR="00C44C31">
        <w:t xml:space="preserve">to his alleged political activities </w:t>
      </w:r>
      <w:r w:rsidR="00AC4BEE">
        <w:t xml:space="preserve">in </w:t>
      </w:r>
      <w:r w:rsidR="00C44C31">
        <w:t>Canada and his status as a failed asylum seeker</w:t>
      </w:r>
      <w:r w:rsidR="008A3947">
        <w:t xml:space="preserve">, since he failed to file </w:t>
      </w:r>
      <w:r w:rsidR="008A3947">
        <w:lastRenderedPageBreak/>
        <w:t xml:space="preserve">an application for leave and judicial review </w:t>
      </w:r>
      <w:r w:rsidR="008A07A3">
        <w:t>against t</w:t>
      </w:r>
      <w:r w:rsidR="008A3947">
        <w:t xml:space="preserve">he negative decisions within the proceedings for refugee protection before the </w:t>
      </w:r>
      <w:r w:rsidR="005D66C9">
        <w:rPr>
          <w:lang w:val="en-US"/>
        </w:rPr>
        <w:t>Immigration and Refugee Board</w:t>
      </w:r>
      <w:r w:rsidR="005D66C9">
        <w:t xml:space="preserve"> </w:t>
      </w:r>
      <w:r w:rsidR="008A3947">
        <w:t>and the PRRA</w:t>
      </w:r>
      <w:r w:rsidR="005D66C9">
        <w:rPr>
          <w:lang w:val="en-US"/>
        </w:rPr>
        <w:t xml:space="preserve"> procedure</w:t>
      </w:r>
      <w:r w:rsidR="00C44C31">
        <w:t xml:space="preserve">. The Committee also takes note of the author’s allegation that </w:t>
      </w:r>
      <w:r w:rsidR="008A3947">
        <w:t xml:space="preserve">judicial review </w:t>
      </w:r>
      <w:r w:rsidR="005D66C9">
        <w:rPr>
          <w:lang w:val="en-US"/>
        </w:rPr>
        <w:t>of</w:t>
      </w:r>
      <w:r w:rsidR="005D66C9">
        <w:t xml:space="preserve"> </w:t>
      </w:r>
      <w:r w:rsidR="008A07A3">
        <w:t>these decisions is</w:t>
      </w:r>
      <w:r w:rsidR="00B61F9B">
        <w:t xml:space="preserve"> not an effective remedy since it </w:t>
      </w:r>
      <w:r w:rsidR="008A3947">
        <w:t xml:space="preserve">has </w:t>
      </w:r>
      <w:r w:rsidR="00C44C31">
        <w:t>a very low prospect of success.</w:t>
      </w:r>
      <w:r>
        <w:t xml:space="preserve"> T</w:t>
      </w:r>
      <w:r w:rsidRPr="00EB4774">
        <w:t xml:space="preserve">he Committee recalls its jurisprudence to the effect that authors must avail themselves of all judicial remedies in order to fulfil the requirement of article 5 </w:t>
      </w:r>
      <w:r w:rsidR="005D66C9">
        <w:rPr>
          <w:lang w:val="en-US"/>
        </w:rPr>
        <w:t>(</w:t>
      </w:r>
      <w:r w:rsidRPr="00EB4774">
        <w:t>2</w:t>
      </w:r>
      <w:r w:rsidR="005D66C9">
        <w:rPr>
          <w:lang w:val="en-US"/>
        </w:rPr>
        <w:t>)</w:t>
      </w:r>
      <w:r w:rsidRPr="00EB4774">
        <w:t xml:space="preserve"> (b) of the Optional Protocol, insofar as such remedies appear to be effective in the given case and are </w:t>
      </w:r>
      <w:r w:rsidRPr="009B3268">
        <w:rPr>
          <w:iCs/>
        </w:rPr>
        <w:t>de facto</w:t>
      </w:r>
      <w:r>
        <w:t xml:space="preserve"> available to the author</w:t>
      </w:r>
      <w:r w:rsidR="005D66C9">
        <w:rPr>
          <w:lang w:val="en-US"/>
        </w:rPr>
        <w:t>,</w:t>
      </w:r>
      <w:r w:rsidRPr="009B3268">
        <w:rPr>
          <w:rStyle w:val="FootnoteReference"/>
        </w:rPr>
        <w:footnoteReference w:id="21"/>
      </w:r>
      <w:r w:rsidRPr="00EB4774">
        <w:t xml:space="preserve"> </w:t>
      </w:r>
      <w:r>
        <w:t>and that</w:t>
      </w:r>
      <w:r w:rsidR="00B61F9B" w:rsidRPr="00EB4774">
        <w:t xml:space="preserve"> mere doubts about the effectiveness of domestic remedies do</w:t>
      </w:r>
      <w:r w:rsidR="00B61F9B">
        <w:t xml:space="preserve"> not relieve the author of a communication from the duty to exhaust them</w:t>
      </w:r>
      <w:r w:rsidR="00B61F9B" w:rsidRPr="008A3947">
        <w:t>.</w:t>
      </w:r>
      <w:r w:rsidR="00B61F9B" w:rsidRPr="009B3268">
        <w:rPr>
          <w:rStyle w:val="FootnoteReference"/>
        </w:rPr>
        <w:footnoteReference w:id="22"/>
      </w:r>
      <w:r w:rsidR="00B61F9B">
        <w:t xml:space="preserve"> </w:t>
      </w:r>
      <w:r w:rsidR="00AC4BEE" w:rsidRPr="00AC4BEE">
        <w:t xml:space="preserve">The Committee considers </w:t>
      </w:r>
      <w:r w:rsidR="00AC4BEE">
        <w:t xml:space="preserve">that </w:t>
      </w:r>
      <w:r w:rsidR="00B61F9B">
        <w:t>the author has thus failed to exhaust domestic remedies</w:t>
      </w:r>
      <w:r w:rsidR="00B61F9B" w:rsidRPr="00B61F9B">
        <w:t xml:space="preserve"> </w:t>
      </w:r>
      <w:r w:rsidR="00AC4BEE">
        <w:t>regarding his</w:t>
      </w:r>
      <w:r w:rsidR="00B61F9B" w:rsidRPr="00B61F9B">
        <w:t xml:space="preserve"> claims of violation of articles 6</w:t>
      </w:r>
      <w:r w:rsidR="005D66C9">
        <w:rPr>
          <w:lang w:val="en-US"/>
        </w:rPr>
        <w:t xml:space="preserve"> </w:t>
      </w:r>
      <w:r w:rsidR="00B61F9B" w:rsidRPr="00B61F9B">
        <w:t xml:space="preserve">(1) and 7 of the Covenant concerning </w:t>
      </w:r>
      <w:r w:rsidR="007B49CF">
        <w:rPr>
          <w:lang w:val="en-US"/>
        </w:rPr>
        <w:t xml:space="preserve">his </w:t>
      </w:r>
      <w:r w:rsidR="00B61F9B">
        <w:t xml:space="preserve">risk of persecution if deported to Zimbabwe. </w:t>
      </w:r>
      <w:r w:rsidR="00B61F9B" w:rsidRPr="00B61F9B">
        <w:t>Accordingly</w:t>
      </w:r>
      <w:r w:rsidR="00B61F9B">
        <w:t>,</w:t>
      </w:r>
      <w:r w:rsidR="00B61F9B" w:rsidRPr="00B61F9B">
        <w:t xml:space="preserve"> t</w:t>
      </w:r>
      <w:r w:rsidR="00B61F9B">
        <w:t>h</w:t>
      </w:r>
      <w:r w:rsidR="00B61F9B" w:rsidRPr="00B61F9B">
        <w:t>is part of</w:t>
      </w:r>
      <w:r w:rsidR="00B61F9B">
        <w:t xml:space="preserve"> communication is inadmissible under article 5</w:t>
      </w:r>
      <w:r w:rsidR="005D66C9">
        <w:rPr>
          <w:lang w:val="en-US"/>
        </w:rPr>
        <w:t xml:space="preserve"> </w:t>
      </w:r>
      <w:r w:rsidR="00B807AC" w:rsidRPr="00B807AC">
        <w:t>(2</w:t>
      </w:r>
      <w:r w:rsidR="005D66C9">
        <w:rPr>
          <w:lang w:val="en-US"/>
        </w:rPr>
        <w:t>) (</w:t>
      </w:r>
      <w:r w:rsidR="00B807AC" w:rsidRPr="00B807AC">
        <w:t>b)</w:t>
      </w:r>
      <w:r w:rsidR="00B61F9B">
        <w:t xml:space="preserve"> of the Optional Protocol.</w:t>
      </w:r>
    </w:p>
    <w:p w:rsidR="004F4F1E" w:rsidRPr="00EF7D62" w:rsidRDefault="00EB4774" w:rsidP="00C213F2">
      <w:pPr>
        <w:pStyle w:val="SingleTxtG"/>
        <w:rPr>
          <w:lang w:val="en-GB"/>
        </w:rPr>
      </w:pPr>
      <w:r>
        <w:t>6.6</w:t>
      </w:r>
      <w:r w:rsidR="005F48C8">
        <w:tab/>
        <w:t>The Committee obs</w:t>
      </w:r>
      <w:r w:rsidR="00B807AC">
        <w:t>erves that the State party</w:t>
      </w:r>
      <w:r w:rsidR="005F48C8">
        <w:t xml:space="preserve"> has not challenged the </w:t>
      </w:r>
      <w:r w:rsidR="008A07A3">
        <w:t>exhaustion of domestic remedies in relation to</w:t>
      </w:r>
      <w:r w:rsidR="00B807AC">
        <w:t xml:space="preserve"> the author’s claims under articles 6</w:t>
      </w:r>
      <w:r w:rsidR="007B49CF">
        <w:rPr>
          <w:lang w:val="en-US"/>
        </w:rPr>
        <w:t xml:space="preserve"> </w:t>
      </w:r>
      <w:r w:rsidR="00B807AC">
        <w:t xml:space="preserve">(1) and 7 regarding the risk he would face if deported </w:t>
      </w:r>
      <w:r w:rsidR="007B49CF">
        <w:rPr>
          <w:lang w:val="en-US"/>
        </w:rPr>
        <w:t>owing</w:t>
      </w:r>
      <w:r w:rsidR="007B49CF">
        <w:t xml:space="preserve"> </w:t>
      </w:r>
      <w:r w:rsidR="00B807AC">
        <w:t>to his HIV</w:t>
      </w:r>
      <w:r w:rsidR="007B49CF">
        <w:rPr>
          <w:lang w:val="en-US"/>
        </w:rPr>
        <w:t>-</w:t>
      </w:r>
      <w:r w:rsidR="00B807AC">
        <w:t>positive</w:t>
      </w:r>
      <w:r w:rsidR="007B49CF">
        <w:rPr>
          <w:lang w:val="en-US"/>
        </w:rPr>
        <w:t xml:space="preserve"> </w:t>
      </w:r>
      <w:r w:rsidR="007B49CF">
        <w:t xml:space="preserve">status </w:t>
      </w:r>
      <w:r w:rsidR="00EC5C0F">
        <w:t xml:space="preserve">as well as articles </w:t>
      </w:r>
      <w:r w:rsidR="007512B3">
        <w:t>17</w:t>
      </w:r>
      <w:r w:rsidR="00B807AC">
        <w:t xml:space="preserve"> and 23</w:t>
      </w:r>
      <w:r w:rsidR="007512B3">
        <w:t>(1)</w:t>
      </w:r>
      <w:r w:rsidR="00EC5C0F">
        <w:t xml:space="preserve"> in connection with his separation from his family</w:t>
      </w:r>
      <w:r w:rsidR="00B807AC">
        <w:t xml:space="preserve">. The Committee observes that the author raised these claims within the </w:t>
      </w:r>
      <w:r w:rsidR="00E958AB">
        <w:t>humanitarian and compassionate</w:t>
      </w:r>
      <w:r w:rsidR="00B807AC">
        <w:t xml:space="preserve"> proceedings that concluded on 4 May 2010 with the Federal Court’s dismissal of </w:t>
      </w:r>
      <w:r w:rsidR="008A07A3">
        <w:t>his</w:t>
      </w:r>
      <w:r w:rsidR="00B807AC">
        <w:t xml:space="preserve"> application for leave and judicial review. Therefore, the Committee considers that these claims meet the admissibility requirement under article 5</w:t>
      </w:r>
      <w:r w:rsidR="007B49CF">
        <w:rPr>
          <w:lang w:val="en-US"/>
        </w:rPr>
        <w:t xml:space="preserve"> </w:t>
      </w:r>
      <w:r w:rsidR="00B807AC">
        <w:t>(2</w:t>
      </w:r>
      <w:r w:rsidR="007B49CF">
        <w:rPr>
          <w:lang w:val="en-US"/>
        </w:rPr>
        <w:t>) (</w:t>
      </w:r>
      <w:r w:rsidR="00B807AC">
        <w:t>b) of the Optional Protocol</w:t>
      </w:r>
      <w:r w:rsidR="006B7856">
        <w:t>.</w:t>
      </w:r>
      <w:r w:rsidR="00EC5C0F">
        <w:t xml:space="preserve"> Furthermore, the</w:t>
      </w:r>
      <w:r w:rsidR="004F4F1E" w:rsidRPr="004F4F1E">
        <w:t xml:space="preserve"> Committee considers</w:t>
      </w:r>
      <w:r w:rsidR="00EC5C0F" w:rsidRPr="00EC5C0F">
        <w:t xml:space="preserve"> </w:t>
      </w:r>
      <w:r w:rsidR="004F4F1E" w:rsidRPr="004F4F1E">
        <w:t>that such claims are sufficiently substantiated for purposes of admissibility and that they should be considered on their merits.</w:t>
      </w:r>
    </w:p>
    <w:p w:rsidR="004F4F1E" w:rsidRPr="00EF7D62" w:rsidRDefault="00321847" w:rsidP="00C213F2">
      <w:pPr>
        <w:pStyle w:val="SingleTxtG"/>
        <w:rPr>
          <w:lang w:val="en-GB"/>
        </w:rPr>
      </w:pPr>
      <w:r>
        <w:rPr>
          <w:lang w:val="en-GB"/>
        </w:rPr>
        <w:t>6.7</w:t>
      </w:r>
      <w:r w:rsidR="004F4F1E">
        <w:rPr>
          <w:lang w:val="en-GB"/>
        </w:rPr>
        <w:tab/>
      </w:r>
      <w:r w:rsidR="004F4F1E" w:rsidRPr="0087662F">
        <w:t>The Committee therefore concludes that the author’s communication is admissible insofar as it raise</w:t>
      </w:r>
      <w:r w:rsidR="004F4F1E">
        <w:t>s</w:t>
      </w:r>
      <w:r w:rsidR="004F4F1E" w:rsidRPr="0087662F">
        <w:t xml:space="preserve"> issues under articles 6</w:t>
      </w:r>
      <w:r w:rsidR="005D66C9">
        <w:rPr>
          <w:lang w:val="en-US"/>
        </w:rPr>
        <w:t xml:space="preserve"> </w:t>
      </w:r>
      <w:r w:rsidR="004F4F1E" w:rsidRPr="004F4F1E">
        <w:rPr>
          <w:lang w:val="en-GB"/>
        </w:rPr>
        <w:t xml:space="preserve">(1) and 7 in relation to the alleged risk </w:t>
      </w:r>
      <w:r w:rsidR="004F4F1E">
        <w:rPr>
          <w:lang w:val="en-GB"/>
        </w:rPr>
        <w:t xml:space="preserve">he would face in Zimbabwe </w:t>
      </w:r>
      <w:r w:rsidR="004F4F1E" w:rsidRPr="004F4F1E">
        <w:rPr>
          <w:lang w:val="en-GB"/>
        </w:rPr>
        <w:t>as a person who is HIV</w:t>
      </w:r>
      <w:r w:rsidR="005C1329">
        <w:rPr>
          <w:lang w:val="en-GB"/>
        </w:rPr>
        <w:t>-</w:t>
      </w:r>
      <w:r w:rsidR="004F4F1E" w:rsidRPr="004F4F1E">
        <w:rPr>
          <w:lang w:val="en-GB"/>
        </w:rPr>
        <w:t>positive</w:t>
      </w:r>
      <w:r w:rsidR="004F4F1E" w:rsidRPr="0087662F">
        <w:t xml:space="preserve"> </w:t>
      </w:r>
      <w:r w:rsidR="005D66C9">
        <w:rPr>
          <w:lang w:val="en-US"/>
        </w:rPr>
        <w:t xml:space="preserve">and under articles </w:t>
      </w:r>
      <w:r w:rsidR="004F4F1E" w:rsidRPr="0087662F">
        <w:t>17 and 23</w:t>
      </w:r>
      <w:r w:rsidR="005D66C9">
        <w:rPr>
          <w:lang w:val="en-US"/>
        </w:rPr>
        <w:t xml:space="preserve"> </w:t>
      </w:r>
      <w:r w:rsidR="007512B3" w:rsidRPr="007512B3">
        <w:rPr>
          <w:lang w:val="en-GB"/>
        </w:rPr>
        <w:t>(1)</w:t>
      </w:r>
      <w:r w:rsidR="004F4F1E" w:rsidRPr="0087662F">
        <w:t xml:space="preserve"> of the Covenant</w:t>
      </w:r>
      <w:r w:rsidR="00EC5C0F" w:rsidRPr="00EC5C0F">
        <w:rPr>
          <w:lang w:val="en-GB"/>
        </w:rPr>
        <w:t xml:space="preserve"> in connection with the interference with his family</w:t>
      </w:r>
      <w:r w:rsidR="004F4F1E" w:rsidRPr="0087662F">
        <w:t>.</w:t>
      </w:r>
    </w:p>
    <w:p w:rsidR="001F493D" w:rsidRPr="00111B81" w:rsidRDefault="001F493D" w:rsidP="001F493D">
      <w:pPr>
        <w:pStyle w:val="H4G"/>
        <w:spacing w:line="240" w:lineRule="auto"/>
        <w:rPr>
          <w:lang w:val="en-US"/>
        </w:rPr>
      </w:pPr>
      <w:r w:rsidRPr="00111B81">
        <w:rPr>
          <w:lang w:val="en-US"/>
        </w:rPr>
        <w:tab/>
      </w:r>
      <w:r w:rsidRPr="00111B81">
        <w:rPr>
          <w:lang w:val="en-US"/>
        </w:rPr>
        <w:tab/>
        <w:t>Consideration of the merits</w:t>
      </w:r>
    </w:p>
    <w:p w:rsidR="00A236D6" w:rsidRDefault="001F493D" w:rsidP="00C213F2">
      <w:pPr>
        <w:pStyle w:val="SingleTxtG"/>
      </w:pPr>
      <w:r w:rsidRPr="00111B81">
        <w:t>7.1</w:t>
      </w:r>
      <w:r w:rsidRPr="00111B81">
        <w:tab/>
        <w:t>The Committee has considered th</w:t>
      </w:r>
      <w:r w:rsidR="007B49CF">
        <w:rPr>
          <w:lang w:val="en-US"/>
        </w:rPr>
        <w:t>e</w:t>
      </w:r>
      <w:r w:rsidRPr="00111B81">
        <w:t xml:space="preserve"> communication in the light of all the information </w:t>
      </w:r>
      <w:r w:rsidR="005D66C9">
        <w:rPr>
          <w:lang w:val="en-US"/>
        </w:rPr>
        <w:t>made available to it by the parties</w:t>
      </w:r>
      <w:r w:rsidRPr="00111B81">
        <w:t>, in accordance with article 5</w:t>
      </w:r>
      <w:r w:rsidR="002D6FD3">
        <w:rPr>
          <w:lang w:val="en-US"/>
        </w:rPr>
        <w:t xml:space="preserve"> </w:t>
      </w:r>
      <w:r w:rsidR="005D66C9">
        <w:rPr>
          <w:lang w:val="en-US"/>
        </w:rPr>
        <w:t>(</w:t>
      </w:r>
      <w:r w:rsidRPr="00111B81">
        <w:t>1</w:t>
      </w:r>
      <w:r w:rsidR="005D66C9">
        <w:rPr>
          <w:lang w:val="en-US"/>
        </w:rPr>
        <w:t>)</w:t>
      </w:r>
      <w:r w:rsidRPr="00111B81">
        <w:t xml:space="preserve"> of the Optional Protocol.</w:t>
      </w:r>
    </w:p>
    <w:p w:rsidR="00F12F26" w:rsidRPr="00EF7D62" w:rsidRDefault="005A2749" w:rsidP="00C213F2">
      <w:pPr>
        <w:pStyle w:val="SingleTxtG"/>
        <w:rPr>
          <w:lang w:val="en-GB"/>
        </w:rPr>
      </w:pPr>
      <w:r>
        <w:rPr>
          <w:lang w:val="en-US"/>
        </w:rPr>
        <w:t>7.2</w:t>
      </w:r>
      <w:r w:rsidR="00A236D6">
        <w:rPr>
          <w:lang w:val="en-US"/>
        </w:rPr>
        <w:tab/>
      </w:r>
      <w:r w:rsidR="00A236D6">
        <w:t xml:space="preserve">The Committee notes the author’s claim that his removal from Canada to </w:t>
      </w:r>
      <w:r w:rsidR="00A236D6" w:rsidRPr="00A236D6">
        <w:rPr>
          <w:lang w:val="en-GB"/>
        </w:rPr>
        <w:t xml:space="preserve">Zimbabwe </w:t>
      </w:r>
      <w:r w:rsidR="00A236D6">
        <w:t>has exposed him to a violation of his rights under article</w:t>
      </w:r>
      <w:r w:rsidR="00A236D6" w:rsidRPr="00A236D6">
        <w:rPr>
          <w:lang w:val="en-GB"/>
        </w:rPr>
        <w:t>s 6</w:t>
      </w:r>
      <w:r w:rsidR="002D6FD3">
        <w:rPr>
          <w:lang w:val="en-GB"/>
        </w:rPr>
        <w:t xml:space="preserve"> </w:t>
      </w:r>
      <w:r w:rsidR="00A236D6" w:rsidRPr="00A236D6">
        <w:rPr>
          <w:lang w:val="en-GB"/>
        </w:rPr>
        <w:t>(1) and</w:t>
      </w:r>
      <w:r w:rsidR="00A236D6">
        <w:t xml:space="preserve"> 7 of the Covenant</w:t>
      </w:r>
      <w:r w:rsidR="00A236D6" w:rsidRPr="00A236D6">
        <w:rPr>
          <w:lang w:val="en-GB"/>
        </w:rPr>
        <w:t xml:space="preserve"> since he would not be able to access </w:t>
      </w:r>
      <w:r w:rsidR="000C4C89">
        <w:rPr>
          <w:lang w:val="en-GB"/>
        </w:rPr>
        <w:t xml:space="preserve">the </w:t>
      </w:r>
      <w:r w:rsidR="00A236D6" w:rsidRPr="00A236D6">
        <w:rPr>
          <w:lang w:val="en-GB"/>
        </w:rPr>
        <w:t>medical treatment t</w:t>
      </w:r>
      <w:r w:rsidR="00A236D6">
        <w:rPr>
          <w:lang w:val="en-GB"/>
        </w:rPr>
        <w:t xml:space="preserve">hat he </w:t>
      </w:r>
      <w:r w:rsidR="00497B0F">
        <w:rPr>
          <w:lang w:val="en-GB"/>
        </w:rPr>
        <w:t>requires</w:t>
      </w:r>
      <w:r w:rsidR="00A236D6">
        <w:rPr>
          <w:lang w:val="en-GB"/>
        </w:rPr>
        <w:t xml:space="preserve"> </w:t>
      </w:r>
      <w:r w:rsidR="002D6FD3">
        <w:rPr>
          <w:lang w:val="en-GB"/>
        </w:rPr>
        <w:t xml:space="preserve">as a result of his </w:t>
      </w:r>
      <w:r w:rsidR="00A236D6">
        <w:rPr>
          <w:lang w:val="en-GB"/>
        </w:rPr>
        <w:t>HIV and Mant</w:t>
      </w:r>
      <w:r w:rsidR="00A236D6" w:rsidRPr="00A236D6">
        <w:rPr>
          <w:lang w:val="en-GB"/>
        </w:rPr>
        <w:t xml:space="preserve">oux </w:t>
      </w:r>
      <w:r w:rsidR="002D6FD3">
        <w:rPr>
          <w:lang w:val="en-GB"/>
        </w:rPr>
        <w:t>status</w:t>
      </w:r>
      <w:r w:rsidR="002D6FD3" w:rsidRPr="00A236D6">
        <w:rPr>
          <w:lang w:val="en-GB"/>
        </w:rPr>
        <w:t xml:space="preserve"> </w:t>
      </w:r>
      <w:r w:rsidR="00A236D6" w:rsidRPr="00A236D6">
        <w:rPr>
          <w:lang w:val="en-GB"/>
        </w:rPr>
        <w:t xml:space="preserve">or to afford </w:t>
      </w:r>
      <w:r w:rsidR="002D6FD3">
        <w:rPr>
          <w:lang w:val="en-GB"/>
        </w:rPr>
        <w:t>antiretroviral medication</w:t>
      </w:r>
      <w:r w:rsidR="00497B0F">
        <w:rPr>
          <w:lang w:val="en-GB"/>
        </w:rPr>
        <w:t>,</w:t>
      </w:r>
      <w:r w:rsidR="00177CF9">
        <w:rPr>
          <w:lang w:val="en-GB"/>
        </w:rPr>
        <w:t xml:space="preserve"> which put</w:t>
      </w:r>
      <w:r w:rsidR="001A21BE">
        <w:rPr>
          <w:lang w:val="en-GB"/>
        </w:rPr>
        <w:t>s</w:t>
      </w:r>
      <w:r w:rsidR="00177CF9">
        <w:rPr>
          <w:lang w:val="en-GB"/>
        </w:rPr>
        <w:t xml:space="preserve"> his life and health at serious risk.</w:t>
      </w:r>
      <w:r w:rsidR="00F12F26">
        <w:rPr>
          <w:lang w:val="en-GB"/>
        </w:rPr>
        <w:t xml:space="preserve"> </w:t>
      </w:r>
      <w:r w:rsidR="00177CF9">
        <w:rPr>
          <w:lang w:val="en-GB"/>
        </w:rPr>
        <w:t xml:space="preserve">The Committee also takes note of the State party’s argument that </w:t>
      </w:r>
      <w:r w:rsidR="00F12F26">
        <w:rPr>
          <w:lang w:val="en-GB"/>
        </w:rPr>
        <w:t xml:space="preserve">its authorities </w:t>
      </w:r>
      <w:r w:rsidR="001A21BE">
        <w:rPr>
          <w:lang w:val="en-GB"/>
        </w:rPr>
        <w:t xml:space="preserve">had </w:t>
      </w:r>
      <w:r w:rsidR="00F12F26">
        <w:rPr>
          <w:lang w:val="en-GB"/>
        </w:rPr>
        <w:t xml:space="preserve">gathered information that indicated that </w:t>
      </w:r>
      <w:r w:rsidR="002D6FD3">
        <w:rPr>
          <w:lang w:val="en-GB"/>
        </w:rPr>
        <w:t xml:space="preserve">antiretroviral medications </w:t>
      </w:r>
      <w:r w:rsidR="002D6FD3">
        <w:rPr>
          <w:color w:val="000000"/>
          <w:lang w:val="en-US"/>
        </w:rPr>
        <w:t>are</w:t>
      </w:r>
      <w:r w:rsidR="00F12F26">
        <w:rPr>
          <w:color w:val="000000"/>
          <w:lang w:val="en-GB"/>
        </w:rPr>
        <w:t xml:space="preserve"> </w:t>
      </w:r>
      <w:r w:rsidR="00F12F26" w:rsidRPr="00F12F26">
        <w:rPr>
          <w:color w:val="000000"/>
          <w:lang w:val="en-GB"/>
        </w:rPr>
        <w:t>available in pharmacies</w:t>
      </w:r>
      <w:r w:rsidR="00F12F26">
        <w:rPr>
          <w:color w:val="000000"/>
        </w:rPr>
        <w:t xml:space="preserve"> in Zimbabwe for about </w:t>
      </w:r>
      <w:r w:rsidR="005C60F0">
        <w:rPr>
          <w:color w:val="000000"/>
          <w:lang w:val="en-US"/>
        </w:rPr>
        <w:t>US</w:t>
      </w:r>
      <w:r w:rsidR="00F12F26" w:rsidRPr="005C60F0">
        <w:rPr>
          <w:color w:val="000000"/>
        </w:rPr>
        <w:t>$</w:t>
      </w:r>
      <w:r w:rsidR="005C60F0">
        <w:rPr>
          <w:color w:val="000000"/>
          <w:lang w:val="en-US"/>
        </w:rPr>
        <w:t xml:space="preserve"> </w:t>
      </w:r>
      <w:r w:rsidR="00F12F26" w:rsidRPr="005C60F0">
        <w:rPr>
          <w:color w:val="000000"/>
        </w:rPr>
        <w:t xml:space="preserve">30 </w:t>
      </w:r>
      <w:r w:rsidR="00F12F26">
        <w:rPr>
          <w:color w:val="000000"/>
        </w:rPr>
        <w:t xml:space="preserve">per month </w:t>
      </w:r>
      <w:r w:rsidR="00F12F26" w:rsidRPr="00E83D3A">
        <w:rPr>
          <w:color w:val="000000"/>
          <w:lang w:val="en-GB"/>
        </w:rPr>
        <w:t>or</w:t>
      </w:r>
      <w:r w:rsidR="00F12F26">
        <w:rPr>
          <w:color w:val="000000"/>
        </w:rPr>
        <w:t xml:space="preserve"> </w:t>
      </w:r>
      <w:r w:rsidR="002D6FD3">
        <w:rPr>
          <w:color w:val="000000"/>
          <w:lang w:val="en-US"/>
        </w:rPr>
        <w:t>can</w:t>
      </w:r>
      <w:r w:rsidR="002D6FD3">
        <w:rPr>
          <w:color w:val="000000"/>
        </w:rPr>
        <w:t xml:space="preserve"> </w:t>
      </w:r>
      <w:r w:rsidR="00F12F26">
        <w:rPr>
          <w:color w:val="000000"/>
        </w:rPr>
        <w:t>be obtained for free at several institutions</w:t>
      </w:r>
      <w:r w:rsidR="00F12F26" w:rsidRPr="00E83D3A">
        <w:rPr>
          <w:color w:val="000000"/>
          <w:lang w:val="en-GB"/>
        </w:rPr>
        <w:t>;</w:t>
      </w:r>
      <w:r w:rsidR="00F12F26">
        <w:rPr>
          <w:color w:val="000000"/>
        </w:rPr>
        <w:t xml:space="preserve"> that the author ha</w:t>
      </w:r>
      <w:r w:rsidR="002D6FD3">
        <w:rPr>
          <w:color w:val="000000"/>
          <w:lang w:val="en-US"/>
        </w:rPr>
        <w:t>s</w:t>
      </w:r>
      <w:r w:rsidR="00F12F26">
        <w:rPr>
          <w:color w:val="000000"/>
        </w:rPr>
        <w:t xml:space="preserve"> family in Zimbabwe on whose support he </w:t>
      </w:r>
      <w:r w:rsidR="001A21BE">
        <w:rPr>
          <w:color w:val="000000"/>
          <w:lang w:val="en-US"/>
        </w:rPr>
        <w:t>can</w:t>
      </w:r>
      <w:r w:rsidR="001A21BE">
        <w:rPr>
          <w:color w:val="000000"/>
        </w:rPr>
        <w:t xml:space="preserve"> </w:t>
      </w:r>
      <w:r w:rsidR="00F12F26">
        <w:rPr>
          <w:color w:val="000000"/>
        </w:rPr>
        <w:t>rely</w:t>
      </w:r>
      <w:r w:rsidR="00F12F26" w:rsidRPr="00F12F26">
        <w:rPr>
          <w:color w:val="000000"/>
          <w:lang w:val="en-GB"/>
        </w:rPr>
        <w:t xml:space="preserve">; </w:t>
      </w:r>
      <w:r w:rsidR="00FF010F">
        <w:rPr>
          <w:color w:val="000000"/>
          <w:lang w:val="en-GB"/>
        </w:rPr>
        <w:t xml:space="preserve">that he </w:t>
      </w:r>
      <w:r w:rsidR="002D6FD3">
        <w:rPr>
          <w:color w:val="000000"/>
          <w:lang w:val="en-GB"/>
        </w:rPr>
        <w:t xml:space="preserve">was not taking </w:t>
      </w:r>
      <w:r w:rsidR="00FF010F">
        <w:rPr>
          <w:color w:val="000000"/>
          <w:lang w:val="en-GB"/>
        </w:rPr>
        <w:t xml:space="preserve">any </w:t>
      </w:r>
      <w:r w:rsidR="002D6FD3">
        <w:rPr>
          <w:lang w:val="en-GB"/>
        </w:rPr>
        <w:t xml:space="preserve">antiretroviral medications </w:t>
      </w:r>
      <w:r w:rsidR="00FF010F">
        <w:rPr>
          <w:color w:val="000000"/>
          <w:lang w:val="en-GB"/>
        </w:rPr>
        <w:t>during his stay in the State party, by his own choice; that he would be able</w:t>
      </w:r>
      <w:r w:rsidR="00F12F26" w:rsidRPr="008E1C43">
        <w:rPr>
          <w:color w:val="000000"/>
        </w:rPr>
        <w:t xml:space="preserve"> to purchase </w:t>
      </w:r>
      <w:r w:rsidR="002D6FD3">
        <w:rPr>
          <w:color w:val="000000"/>
          <w:lang w:val="en-GB"/>
        </w:rPr>
        <w:t>those medications</w:t>
      </w:r>
      <w:r w:rsidR="002D6FD3" w:rsidRPr="008E1C43">
        <w:rPr>
          <w:color w:val="000000"/>
        </w:rPr>
        <w:t xml:space="preserve"> </w:t>
      </w:r>
      <w:r w:rsidR="00F12F26" w:rsidRPr="008E1C43">
        <w:rPr>
          <w:color w:val="000000"/>
        </w:rPr>
        <w:t>privately</w:t>
      </w:r>
      <w:r w:rsidR="00E3570B">
        <w:rPr>
          <w:color w:val="000000"/>
        </w:rPr>
        <w:t xml:space="preserve"> </w:t>
      </w:r>
      <w:r w:rsidR="00FF010F" w:rsidRPr="00FF010F">
        <w:rPr>
          <w:color w:val="000000"/>
          <w:lang w:val="en-GB"/>
        </w:rPr>
        <w:t>in Zimbabwe; and that</w:t>
      </w:r>
      <w:r w:rsidR="00FF010F">
        <w:rPr>
          <w:color w:val="000000"/>
          <w:lang w:val="en-GB"/>
        </w:rPr>
        <w:t xml:space="preserve"> in </w:t>
      </w:r>
      <w:r w:rsidR="002D6FD3">
        <w:rPr>
          <w:color w:val="000000"/>
          <w:lang w:val="en-GB"/>
        </w:rPr>
        <w:t xml:space="preserve">the </w:t>
      </w:r>
      <w:r w:rsidR="00FF010F">
        <w:rPr>
          <w:color w:val="000000"/>
          <w:lang w:val="en-GB"/>
        </w:rPr>
        <w:t>light of his business/work experience and education,</w:t>
      </w:r>
      <w:r w:rsidR="00F12F26" w:rsidRPr="008E1C43">
        <w:rPr>
          <w:color w:val="000000"/>
        </w:rPr>
        <w:t xml:space="preserve"> </w:t>
      </w:r>
      <w:r w:rsidR="00F12F26">
        <w:rPr>
          <w:color w:val="000000"/>
        </w:rPr>
        <w:t>he</w:t>
      </w:r>
      <w:r w:rsidR="00F12F26" w:rsidRPr="008E1C43">
        <w:rPr>
          <w:color w:val="000000"/>
        </w:rPr>
        <w:t xml:space="preserve"> </w:t>
      </w:r>
      <w:r w:rsidR="002D6FD3">
        <w:rPr>
          <w:color w:val="000000"/>
          <w:lang w:val="en-GB"/>
        </w:rPr>
        <w:t>is</w:t>
      </w:r>
      <w:r w:rsidR="002D6FD3" w:rsidRPr="008E1C43">
        <w:rPr>
          <w:color w:val="000000"/>
        </w:rPr>
        <w:t xml:space="preserve"> </w:t>
      </w:r>
      <w:r w:rsidR="00F12F26" w:rsidRPr="008E1C43">
        <w:rPr>
          <w:color w:val="000000"/>
        </w:rPr>
        <w:t xml:space="preserve">better placed than the </w:t>
      </w:r>
      <w:r w:rsidR="00F12F26" w:rsidRPr="008E1C43">
        <w:rPr>
          <w:color w:val="000000"/>
        </w:rPr>
        <w:lastRenderedPageBreak/>
        <w:t xml:space="preserve">vast majority of Zimbabweans to obtain or create for himself gainful employment such as to </w:t>
      </w:r>
      <w:r w:rsidR="002D6FD3">
        <w:rPr>
          <w:color w:val="000000"/>
          <w:lang w:val="en-US"/>
        </w:rPr>
        <w:t xml:space="preserve">be able to </w:t>
      </w:r>
      <w:r w:rsidR="00F12F26" w:rsidRPr="008E1C43">
        <w:rPr>
          <w:color w:val="000000"/>
        </w:rPr>
        <w:t xml:space="preserve">afford private </w:t>
      </w:r>
      <w:r w:rsidR="002D6FD3">
        <w:rPr>
          <w:color w:val="000000"/>
          <w:lang w:val="en-US"/>
        </w:rPr>
        <w:t>antiretroviral</w:t>
      </w:r>
      <w:r w:rsidR="002D6FD3" w:rsidRPr="008E1C43">
        <w:rPr>
          <w:color w:val="000000"/>
        </w:rPr>
        <w:t xml:space="preserve"> </w:t>
      </w:r>
      <w:r w:rsidR="00F12F26" w:rsidRPr="008E1C43">
        <w:rPr>
          <w:color w:val="000000"/>
        </w:rPr>
        <w:t>treatment if necessary.</w:t>
      </w:r>
    </w:p>
    <w:p w:rsidR="00944B29" w:rsidRPr="00EF7D62" w:rsidRDefault="007512B3" w:rsidP="009D2FF3">
      <w:pPr>
        <w:pStyle w:val="SingleTxtG"/>
        <w:rPr>
          <w:rFonts w:eastAsia="MS Mincho"/>
          <w:lang w:val="en-US"/>
        </w:rPr>
      </w:pPr>
      <w:r>
        <w:t>7.3</w:t>
      </w:r>
      <w:r w:rsidR="001F493D" w:rsidRPr="00111B81">
        <w:tab/>
        <w:t xml:space="preserve">The Committee recalls </w:t>
      </w:r>
      <w:r w:rsidR="002D6FD3">
        <w:rPr>
          <w:lang w:val="en-US"/>
        </w:rPr>
        <w:t xml:space="preserve">that in its </w:t>
      </w:r>
      <w:r w:rsidR="001F493D" w:rsidRPr="00111B81">
        <w:t xml:space="preserve">general comment </w:t>
      </w:r>
      <w:r w:rsidR="001F493D" w:rsidRPr="002D6FD3">
        <w:t>No. 31</w:t>
      </w:r>
      <w:r w:rsidR="001F493D" w:rsidRPr="00111B81">
        <w:t xml:space="preserve"> </w:t>
      </w:r>
      <w:r w:rsidR="004173E8">
        <w:rPr>
          <w:lang w:val="en-US"/>
        </w:rPr>
        <w:t>(</w:t>
      </w:r>
      <w:r w:rsidR="002D6FD3">
        <w:t>2004) on the nature of the general legal obligation imposed on States parties to the Covenant</w:t>
      </w:r>
      <w:r w:rsidR="003D3F3C">
        <w:rPr>
          <w:lang w:val="en-US"/>
        </w:rPr>
        <w:t>,</w:t>
      </w:r>
      <w:r w:rsidR="002D6FD3" w:rsidRPr="00111B81">
        <w:t xml:space="preserve"> </w:t>
      </w:r>
      <w:r w:rsidR="001F493D" w:rsidRPr="00111B81">
        <w:t>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001F493D" w:rsidRPr="009B3268">
        <w:rPr>
          <w:rStyle w:val="FootnoteReference"/>
        </w:rPr>
        <w:footnoteReference w:id="23"/>
      </w:r>
      <w:r w:rsidR="001F493D" w:rsidRPr="00111B81">
        <w:t xml:space="preserve"> and that there is a high threshold for providing substantial grounds to establish that a real risk of irreparable harm exists.</w:t>
      </w:r>
      <w:r w:rsidR="001F493D" w:rsidRPr="009B3268">
        <w:rPr>
          <w:rStyle w:val="FootnoteReference"/>
        </w:rPr>
        <w:footnoteReference w:id="24"/>
      </w:r>
      <w:r w:rsidR="009D2FF3" w:rsidRPr="00EF7D62">
        <w:rPr>
          <w:lang w:val="en-GB"/>
        </w:rPr>
        <w:t xml:space="preserve"> </w:t>
      </w:r>
      <w:r w:rsidR="009D2FF3">
        <w:rPr>
          <w:rFonts w:eastAsia="MS Mincho"/>
        </w:rPr>
        <w:t>Thus, all relevant facts and circumstances must be considered, including the general human rights situation in the author’s country of origin.</w:t>
      </w:r>
      <w:r w:rsidR="009D2FF3" w:rsidRPr="009B3268">
        <w:rPr>
          <w:rStyle w:val="FootnoteReference"/>
          <w:rFonts w:eastAsia="MS Mincho"/>
        </w:rPr>
        <w:footnoteReference w:id="25"/>
      </w:r>
      <w:r w:rsidR="009D2FF3">
        <w:rPr>
          <w:rFonts w:eastAsia="MS Mincho"/>
        </w:rPr>
        <w:t xml:space="preserve"> </w:t>
      </w:r>
      <w:r w:rsidR="009D2FF3">
        <w:rPr>
          <w:rFonts w:eastAsia="MS Mincho"/>
          <w:lang w:val="en-US"/>
        </w:rPr>
        <w:t>The Committee recalls that it is generally for the organs of States parties to examine the facts and evidence of the case</w:t>
      </w:r>
      <w:r w:rsidR="009D2FF3" w:rsidRPr="009B3268">
        <w:rPr>
          <w:rFonts w:eastAsia="MS Mincho"/>
          <w:bCs/>
          <w:lang w:val="en-US"/>
        </w:rPr>
        <w:t xml:space="preserve"> </w:t>
      </w:r>
      <w:r w:rsidR="009D2FF3">
        <w:rPr>
          <w:rFonts w:eastAsia="MS Mincho"/>
          <w:lang w:val="en-US"/>
        </w:rPr>
        <w:t>in order to determine whether such a risk exists, unless it can be established that the assessment was arbitrary or amounted to a manifest error or denial of justice.</w:t>
      </w:r>
      <w:r w:rsidR="009D2FF3" w:rsidRPr="009B3268">
        <w:rPr>
          <w:rStyle w:val="FootnoteReference"/>
          <w:rFonts w:eastAsia="MS Mincho"/>
        </w:rPr>
        <w:footnoteReference w:id="26"/>
      </w:r>
    </w:p>
    <w:p w:rsidR="00944B29" w:rsidRPr="009B3268" w:rsidRDefault="007512B3" w:rsidP="00C213F2">
      <w:pPr>
        <w:pStyle w:val="SingleTxtG"/>
        <w:rPr>
          <w:lang w:val="en-US"/>
        </w:rPr>
      </w:pPr>
      <w:r>
        <w:t>7.4</w:t>
      </w:r>
      <w:r w:rsidR="00944B29">
        <w:tab/>
      </w:r>
      <w:r w:rsidR="00DC0AEB">
        <w:rPr>
          <w:lang w:val="en-GB"/>
        </w:rPr>
        <w:t xml:space="preserve">As to </w:t>
      </w:r>
      <w:r w:rsidR="009D2FF3" w:rsidRPr="00EF7D62">
        <w:rPr>
          <w:lang w:val="en-GB"/>
        </w:rPr>
        <w:t xml:space="preserve">the author’s allegation </w:t>
      </w:r>
      <w:r w:rsidR="003D3F3C">
        <w:rPr>
          <w:lang w:val="en-GB"/>
        </w:rPr>
        <w:t>that</w:t>
      </w:r>
      <w:r w:rsidR="009D2FF3" w:rsidRPr="00EF7D62">
        <w:rPr>
          <w:lang w:val="en-GB"/>
        </w:rPr>
        <w:t xml:space="preserve"> his life </w:t>
      </w:r>
      <w:r w:rsidR="003D3F3C">
        <w:rPr>
          <w:lang w:val="en-GB"/>
        </w:rPr>
        <w:t xml:space="preserve">would be at risk </w:t>
      </w:r>
      <w:r w:rsidR="002D6FD3">
        <w:rPr>
          <w:lang w:val="en-GB"/>
        </w:rPr>
        <w:t>upon return</w:t>
      </w:r>
      <w:r w:rsidR="009D2FF3" w:rsidRPr="00EF7D62">
        <w:rPr>
          <w:lang w:val="en-GB"/>
        </w:rPr>
        <w:t xml:space="preserve"> to Zimbabwe </w:t>
      </w:r>
      <w:r w:rsidR="003D3F3C">
        <w:rPr>
          <w:lang w:val="en-GB"/>
        </w:rPr>
        <w:t>owing</w:t>
      </w:r>
      <w:r w:rsidR="003D3F3C" w:rsidRPr="00EF7D62">
        <w:rPr>
          <w:lang w:val="en-GB"/>
        </w:rPr>
        <w:t xml:space="preserve"> </w:t>
      </w:r>
      <w:r w:rsidR="009D2FF3" w:rsidRPr="00EF7D62">
        <w:rPr>
          <w:lang w:val="en-GB"/>
        </w:rPr>
        <w:t>to his HIV</w:t>
      </w:r>
      <w:r w:rsidR="003D3F3C">
        <w:rPr>
          <w:lang w:val="en-GB"/>
        </w:rPr>
        <w:t>-</w:t>
      </w:r>
      <w:r w:rsidR="009D2FF3" w:rsidRPr="00EF7D62">
        <w:rPr>
          <w:lang w:val="en-GB"/>
        </w:rPr>
        <w:t xml:space="preserve">positive </w:t>
      </w:r>
      <w:r w:rsidR="003D3F3C">
        <w:rPr>
          <w:lang w:val="en-GB"/>
        </w:rPr>
        <w:t xml:space="preserve">status </w:t>
      </w:r>
      <w:r w:rsidR="009D2FF3">
        <w:rPr>
          <w:lang w:val="en-GB"/>
        </w:rPr>
        <w:t>and the alleged lack of access to medical care and medication</w:t>
      </w:r>
      <w:r w:rsidR="00DC0AEB">
        <w:rPr>
          <w:lang w:val="en-GB"/>
        </w:rPr>
        <w:t xml:space="preserve">, the Committee observes that </w:t>
      </w:r>
      <w:r w:rsidR="00C611D2">
        <w:t xml:space="preserve">it is not disputed that medical treatment for persons </w:t>
      </w:r>
      <w:r w:rsidR="00497B0F">
        <w:t xml:space="preserve">who are </w:t>
      </w:r>
      <w:r w:rsidR="00C611D2">
        <w:t>HIV</w:t>
      </w:r>
      <w:r w:rsidR="00E10F65">
        <w:rPr>
          <w:lang w:val="en-US"/>
        </w:rPr>
        <w:t>-</w:t>
      </w:r>
      <w:r w:rsidR="00C611D2">
        <w:t xml:space="preserve">positive and </w:t>
      </w:r>
      <w:r w:rsidR="003D3F3C">
        <w:t>antiretroviral</w:t>
      </w:r>
      <w:r w:rsidR="00C611D2">
        <w:t xml:space="preserve"> </w:t>
      </w:r>
      <w:r w:rsidR="003D3F3C">
        <w:rPr>
          <w:lang w:val="en-US"/>
        </w:rPr>
        <w:t xml:space="preserve">medications </w:t>
      </w:r>
      <w:r w:rsidR="00C611D2">
        <w:t>are available in Zimbabwe</w:t>
      </w:r>
      <w:r w:rsidR="006D1BDC">
        <w:t xml:space="preserve">, through public services or private entities. Nevertheless, the author claims that the services offered are insufficient to </w:t>
      </w:r>
      <w:r w:rsidR="00DC0AEB" w:rsidRPr="009B3268">
        <w:rPr>
          <w:lang w:val="en-US"/>
        </w:rPr>
        <w:t>address</w:t>
      </w:r>
      <w:r w:rsidR="006D1BDC">
        <w:t xml:space="preserve"> all persons in need of </w:t>
      </w:r>
      <w:r w:rsidR="003D3F3C">
        <w:rPr>
          <w:lang w:val="en-US"/>
        </w:rPr>
        <w:t xml:space="preserve">them and that there is </w:t>
      </w:r>
      <w:r w:rsidR="006D1BDC">
        <w:t>a very long waiting list</w:t>
      </w:r>
      <w:r w:rsidR="00DC0AEB" w:rsidRPr="009B3268">
        <w:rPr>
          <w:lang w:val="en-US"/>
        </w:rPr>
        <w:t>,</w:t>
      </w:r>
      <w:r w:rsidR="00406032">
        <w:t xml:space="preserve"> </w:t>
      </w:r>
      <w:r w:rsidR="006D1BDC">
        <w:t xml:space="preserve">that </w:t>
      </w:r>
      <w:r w:rsidR="003D3F3C">
        <w:rPr>
          <w:lang w:val="en-US"/>
        </w:rPr>
        <w:t>the medications</w:t>
      </w:r>
      <w:r w:rsidR="006D1BDC">
        <w:t xml:space="preserve"> are not affordable</w:t>
      </w:r>
      <w:r w:rsidR="00406032">
        <w:t xml:space="preserve"> and that there is little</w:t>
      </w:r>
      <w:r w:rsidR="0095231B">
        <w:t xml:space="preserve"> public</w:t>
      </w:r>
      <w:r w:rsidR="00406032">
        <w:t xml:space="preserve"> social support </w:t>
      </w:r>
      <w:r w:rsidR="003D3F3C">
        <w:rPr>
          <w:lang w:val="en-US"/>
        </w:rPr>
        <w:t>for</w:t>
      </w:r>
      <w:r w:rsidR="003D3F3C">
        <w:t xml:space="preserve"> </w:t>
      </w:r>
      <w:r w:rsidR="00406032">
        <w:t>persons who are HIV</w:t>
      </w:r>
      <w:r w:rsidR="00E10F65">
        <w:rPr>
          <w:lang w:val="en-US"/>
        </w:rPr>
        <w:t>-</w:t>
      </w:r>
      <w:r w:rsidR="00406032">
        <w:t>positive</w:t>
      </w:r>
      <w:r w:rsidR="006D1BDC">
        <w:t xml:space="preserve">. </w:t>
      </w:r>
      <w:r w:rsidR="005A082A">
        <w:t xml:space="preserve">Against this background, the author alleges that he </w:t>
      </w:r>
      <w:r w:rsidR="003D3F3C">
        <w:rPr>
          <w:lang w:val="en-US"/>
        </w:rPr>
        <w:t>will</w:t>
      </w:r>
      <w:r w:rsidR="003D3F3C">
        <w:t xml:space="preserve"> </w:t>
      </w:r>
      <w:r w:rsidR="005A082A">
        <w:t xml:space="preserve">not be able to obtain </w:t>
      </w:r>
      <w:r w:rsidR="00F4314E">
        <w:t xml:space="preserve">immediate </w:t>
      </w:r>
      <w:r w:rsidR="005A082A">
        <w:t xml:space="preserve">access to </w:t>
      </w:r>
      <w:r w:rsidR="003D3F3C">
        <w:t>antiretroviral</w:t>
      </w:r>
      <w:r w:rsidR="005A082A">
        <w:t xml:space="preserve"> </w:t>
      </w:r>
      <w:r w:rsidR="003D3F3C">
        <w:rPr>
          <w:lang w:val="en-US"/>
        </w:rPr>
        <w:t xml:space="preserve">medications </w:t>
      </w:r>
      <w:r w:rsidR="00406032">
        <w:t xml:space="preserve">in Zimbabwe </w:t>
      </w:r>
      <w:r w:rsidR="00EA76D8">
        <w:t xml:space="preserve">or afford </w:t>
      </w:r>
      <w:r w:rsidR="003D3F3C">
        <w:rPr>
          <w:lang w:val="en-US"/>
        </w:rPr>
        <w:t>to pay for them</w:t>
      </w:r>
      <w:r w:rsidR="003D3F3C">
        <w:t xml:space="preserve"> </w:t>
      </w:r>
      <w:r w:rsidR="00EA76D8">
        <w:t>by himself</w:t>
      </w:r>
      <w:r w:rsidR="003D3F3C">
        <w:rPr>
          <w:lang w:val="en-US"/>
        </w:rPr>
        <w:t>,</w:t>
      </w:r>
      <w:r w:rsidR="00EA76D8">
        <w:t xml:space="preserve"> since he will be unemployed</w:t>
      </w:r>
      <w:r w:rsidR="00DC0AEB" w:rsidRPr="00DC0AEB">
        <w:rPr>
          <w:lang w:val="en-GB"/>
        </w:rPr>
        <w:t>,</w:t>
      </w:r>
      <w:r w:rsidR="00EA76D8">
        <w:t xml:space="preserve"> and that he has no close relatives </w:t>
      </w:r>
      <w:r w:rsidR="00EA76D8">
        <w:rPr>
          <w:color w:val="000000"/>
        </w:rPr>
        <w:t xml:space="preserve">in Zimbabwe on whose support he </w:t>
      </w:r>
      <w:r w:rsidR="003D3F3C">
        <w:rPr>
          <w:color w:val="000000"/>
          <w:lang w:val="en-US"/>
        </w:rPr>
        <w:t>can</w:t>
      </w:r>
      <w:r w:rsidR="003D3F3C">
        <w:rPr>
          <w:color w:val="000000"/>
        </w:rPr>
        <w:t xml:space="preserve"> </w:t>
      </w:r>
      <w:r w:rsidR="00EA76D8">
        <w:rPr>
          <w:color w:val="000000"/>
        </w:rPr>
        <w:t>rely</w:t>
      </w:r>
      <w:r w:rsidR="00EA76D8">
        <w:t xml:space="preserve">. </w:t>
      </w:r>
      <w:r w:rsidR="00A10AF4">
        <w:t xml:space="preserve">The Committee observes, however, that the author </w:t>
      </w:r>
      <w:r w:rsidR="003D3F3C">
        <w:rPr>
          <w:lang w:val="en-US"/>
        </w:rPr>
        <w:t xml:space="preserve">has </w:t>
      </w:r>
      <w:r w:rsidR="00EA76D8">
        <w:t>provide</w:t>
      </w:r>
      <w:r w:rsidR="003D3F3C">
        <w:rPr>
          <w:lang w:val="en-US"/>
        </w:rPr>
        <w:t>d</w:t>
      </w:r>
      <w:r w:rsidR="00EA76D8">
        <w:t xml:space="preserve"> </w:t>
      </w:r>
      <w:r w:rsidR="003D3F3C">
        <w:t xml:space="preserve">mainly </w:t>
      </w:r>
      <w:r w:rsidR="00EA76D8">
        <w:t xml:space="preserve">general information about the economic situation </w:t>
      </w:r>
      <w:r w:rsidR="003D3F3C">
        <w:rPr>
          <w:lang w:val="en-US"/>
        </w:rPr>
        <w:t xml:space="preserve">in the country </w:t>
      </w:r>
      <w:r w:rsidR="00EA76D8">
        <w:t xml:space="preserve">and the difficulties </w:t>
      </w:r>
      <w:r w:rsidR="00DC0AEB" w:rsidRPr="00DC0AEB">
        <w:rPr>
          <w:lang w:val="en-GB"/>
        </w:rPr>
        <w:t>in getting</w:t>
      </w:r>
      <w:r w:rsidR="00EA76D8">
        <w:t xml:space="preserve"> acces</w:t>
      </w:r>
      <w:r w:rsidR="00197752">
        <w:t>s</w:t>
      </w:r>
      <w:r w:rsidR="00A10AF4">
        <w:t xml:space="preserve"> to medical treatment for HIV </w:t>
      </w:r>
      <w:r w:rsidR="001A2203">
        <w:t xml:space="preserve">and </w:t>
      </w:r>
      <w:r w:rsidR="003D3F3C">
        <w:rPr>
          <w:lang w:val="en-US"/>
        </w:rPr>
        <w:t xml:space="preserve">has provided </w:t>
      </w:r>
      <w:r w:rsidR="00A10AF4">
        <w:t xml:space="preserve">inconsistent information </w:t>
      </w:r>
      <w:r w:rsidR="003D3F3C">
        <w:rPr>
          <w:lang w:val="en-US"/>
        </w:rPr>
        <w:t>about</w:t>
      </w:r>
      <w:r w:rsidR="00A10AF4">
        <w:t xml:space="preserve"> his family in Zimbabwe, </w:t>
      </w:r>
      <w:r w:rsidR="0095231B">
        <w:t xml:space="preserve">which does not allow </w:t>
      </w:r>
      <w:r w:rsidR="003D3F3C">
        <w:rPr>
          <w:lang w:val="en-US"/>
        </w:rPr>
        <w:t xml:space="preserve">it to </w:t>
      </w:r>
      <w:r w:rsidR="0095231B">
        <w:t xml:space="preserve">ascertain </w:t>
      </w:r>
      <w:r w:rsidR="003D3F3C">
        <w:rPr>
          <w:lang w:val="en-US"/>
        </w:rPr>
        <w:t>the</w:t>
      </w:r>
      <w:r w:rsidR="001A2203">
        <w:t xml:space="preserve"> extent</w:t>
      </w:r>
      <w:r w:rsidR="0095231B">
        <w:t xml:space="preserve"> </w:t>
      </w:r>
      <w:r w:rsidR="00C53845">
        <w:rPr>
          <w:lang w:val="en-US"/>
        </w:rPr>
        <w:t xml:space="preserve">to which </w:t>
      </w:r>
      <w:r w:rsidR="0095231B">
        <w:t>he</w:t>
      </w:r>
      <w:r w:rsidR="00DC0AEB" w:rsidRPr="00DC0AEB">
        <w:rPr>
          <w:lang w:val="en-GB"/>
        </w:rPr>
        <w:t xml:space="preserve"> can</w:t>
      </w:r>
      <w:r w:rsidR="0095231B">
        <w:t xml:space="preserve"> count on family support</w:t>
      </w:r>
      <w:r w:rsidR="001A2203">
        <w:t>. Further</w:t>
      </w:r>
      <w:r w:rsidR="00E013DC">
        <w:t>more</w:t>
      </w:r>
      <w:r w:rsidR="001A2203">
        <w:t>, he decided</w:t>
      </w:r>
      <w:r w:rsidR="00E013DC">
        <w:t>,</w:t>
      </w:r>
      <w:r w:rsidR="001A2203">
        <w:t xml:space="preserve"> </w:t>
      </w:r>
      <w:r w:rsidR="00E013DC">
        <w:t xml:space="preserve">by his own choice, </w:t>
      </w:r>
      <w:r w:rsidR="001A2203">
        <w:t xml:space="preserve">not to </w:t>
      </w:r>
      <w:r w:rsidR="00992197">
        <w:rPr>
          <w:lang w:val="en-US"/>
        </w:rPr>
        <w:t>undergo</w:t>
      </w:r>
      <w:r w:rsidR="00992197">
        <w:t xml:space="preserve"> </w:t>
      </w:r>
      <w:r w:rsidR="001A2203">
        <w:t xml:space="preserve">any </w:t>
      </w:r>
      <w:r w:rsidR="003D3F3C">
        <w:t>antiretroviral</w:t>
      </w:r>
      <w:r w:rsidR="001A2203">
        <w:t xml:space="preserve"> </w:t>
      </w:r>
      <w:r w:rsidR="003D3F3C">
        <w:rPr>
          <w:lang w:val="en-US"/>
        </w:rPr>
        <w:t xml:space="preserve">treatment </w:t>
      </w:r>
      <w:r w:rsidR="001A2203">
        <w:t xml:space="preserve">available in the State party until </w:t>
      </w:r>
      <w:r w:rsidR="003D3F3C">
        <w:rPr>
          <w:lang w:val="en-US"/>
        </w:rPr>
        <w:t>his</w:t>
      </w:r>
      <w:r w:rsidR="001A2203">
        <w:t xml:space="preserve"> migration status</w:t>
      </w:r>
      <w:r w:rsidR="003D3F3C">
        <w:rPr>
          <w:lang w:val="en-US"/>
        </w:rPr>
        <w:t xml:space="preserve"> </w:t>
      </w:r>
      <w:r w:rsidR="00C53845">
        <w:rPr>
          <w:lang w:val="en-US"/>
        </w:rPr>
        <w:t>had become</w:t>
      </w:r>
      <w:r w:rsidR="003D3F3C">
        <w:rPr>
          <w:lang w:val="en-US"/>
        </w:rPr>
        <w:t xml:space="preserve"> clear</w:t>
      </w:r>
      <w:r w:rsidR="001A2203">
        <w:t xml:space="preserve">. </w:t>
      </w:r>
      <w:r w:rsidR="00E013DC">
        <w:t xml:space="preserve">In </w:t>
      </w:r>
      <w:r w:rsidR="003D3F3C">
        <w:rPr>
          <w:lang w:val="en-US"/>
        </w:rPr>
        <w:t xml:space="preserve">the </w:t>
      </w:r>
      <w:r w:rsidR="00E013DC">
        <w:t xml:space="preserve">light of the </w:t>
      </w:r>
      <w:r w:rsidR="003D3F3C">
        <w:rPr>
          <w:lang w:val="en-US"/>
        </w:rPr>
        <w:t>foregoing</w:t>
      </w:r>
      <w:r w:rsidR="00E013DC">
        <w:t>, the Committee considers that the author has not show</w:t>
      </w:r>
      <w:r w:rsidR="003D3F3C">
        <w:rPr>
          <w:lang w:val="en-US"/>
        </w:rPr>
        <w:t>n</w:t>
      </w:r>
      <w:r w:rsidR="00E013DC">
        <w:t xml:space="preserve"> that his life or physical and mental integrity </w:t>
      </w:r>
      <w:r w:rsidR="00032B86">
        <w:t>are a</w:t>
      </w:r>
      <w:r w:rsidR="00E013DC">
        <w:t xml:space="preserve">t imminent and direct risk </w:t>
      </w:r>
      <w:r w:rsidR="00032B86">
        <w:t>as a result of his removal to Zimbabwe</w:t>
      </w:r>
      <w:r w:rsidR="000C4C89">
        <w:t xml:space="preserve"> and that the State party’s authorities </w:t>
      </w:r>
      <w:r w:rsidR="003D3F3C">
        <w:t xml:space="preserve">took his health situation </w:t>
      </w:r>
      <w:r w:rsidR="003D3F3C">
        <w:rPr>
          <w:lang w:val="en-US"/>
        </w:rPr>
        <w:t>i</w:t>
      </w:r>
      <w:r w:rsidR="003D3F3C">
        <w:t xml:space="preserve">nto consideration </w:t>
      </w:r>
      <w:r w:rsidR="000C4C89">
        <w:t>and made the necessary inquiries before implementing the expulsion decision</w:t>
      </w:r>
      <w:r w:rsidR="00032B86">
        <w:t xml:space="preserve">. </w:t>
      </w:r>
      <w:r>
        <w:t xml:space="preserve">Accordingly, the Committee considers that the author’s removal to Zimbabwe did not constitute a violation of </w:t>
      </w:r>
      <w:r w:rsidR="00842944">
        <w:rPr>
          <w:lang w:val="en-US"/>
        </w:rPr>
        <w:t>his</w:t>
      </w:r>
      <w:r>
        <w:t xml:space="preserve"> rights under article</w:t>
      </w:r>
      <w:r w:rsidR="00842944">
        <w:rPr>
          <w:lang w:val="en-US"/>
        </w:rPr>
        <w:t>s</w:t>
      </w:r>
      <w:r>
        <w:t xml:space="preserve"> 6</w:t>
      </w:r>
      <w:r w:rsidR="00842944">
        <w:rPr>
          <w:lang w:val="en-US"/>
        </w:rPr>
        <w:t xml:space="preserve"> </w:t>
      </w:r>
      <w:r>
        <w:t>(1) and 7 of the Covenant.</w:t>
      </w:r>
      <w:r w:rsidR="003D3F3C">
        <w:rPr>
          <w:lang w:val="en-US"/>
        </w:rPr>
        <w:t xml:space="preserve"> </w:t>
      </w:r>
    </w:p>
    <w:p w:rsidR="00CF6F98" w:rsidRPr="00A45D23" w:rsidRDefault="005A2749" w:rsidP="00C213F2">
      <w:pPr>
        <w:pStyle w:val="SingleTxtG"/>
        <w:rPr>
          <w:lang w:val="en-GB"/>
        </w:rPr>
      </w:pPr>
      <w:r>
        <w:rPr>
          <w:lang w:val="en-US"/>
        </w:rPr>
        <w:t>7.5</w:t>
      </w:r>
      <w:r w:rsidR="007512B3">
        <w:rPr>
          <w:lang w:val="en-US"/>
        </w:rPr>
        <w:tab/>
      </w:r>
      <w:r w:rsidR="00AF61DD">
        <w:rPr>
          <w:lang w:val="en-US"/>
        </w:rPr>
        <w:t xml:space="preserve">The Committee takes note of the author’s allegation that his removal to Zimbabwe </w:t>
      </w:r>
      <w:r w:rsidR="00497B0F">
        <w:rPr>
          <w:lang w:val="en-US"/>
        </w:rPr>
        <w:t xml:space="preserve">constituted an </w:t>
      </w:r>
      <w:r w:rsidR="00497B0F">
        <w:t>arbitrary interfere</w:t>
      </w:r>
      <w:r w:rsidR="00497B0F" w:rsidRPr="00497B0F">
        <w:rPr>
          <w:lang w:val="en-GB"/>
        </w:rPr>
        <w:t>nce</w:t>
      </w:r>
      <w:r w:rsidR="00AF61DD" w:rsidRPr="00850BAD">
        <w:t xml:space="preserve"> with his family life </w:t>
      </w:r>
      <w:r w:rsidR="00842944">
        <w:rPr>
          <w:lang w:val="en-US"/>
        </w:rPr>
        <w:t>in violation of</w:t>
      </w:r>
      <w:r w:rsidR="00842944" w:rsidRPr="00850BAD">
        <w:t xml:space="preserve"> </w:t>
      </w:r>
      <w:r w:rsidR="00AF61DD" w:rsidRPr="00850BAD">
        <w:t>articles 17 and 23</w:t>
      </w:r>
      <w:r w:rsidR="00842944">
        <w:rPr>
          <w:lang w:val="en-US"/>
        </w:rPr>
        <w:t xml:space="preserve"> </w:t>
      </w:r>
      <w:r w:rsidR="00AF61DD" w:rsidRPr="00AF61DD">
        <w:rPr>
          <w:lang w:val="en-GB"/>
        </w:rPr>
        <w:t>(1) of the Covenant.</w:t>
      </w:r>
      <w:r w:rsidR="00AF61DD" w:rsidRPr="00AF61DD">
        <w:t xml:space="preserve"> </w:t>
      </w:r>
      <w:r w:rsidR="00F01928">
        <w:rPr>
          <w:lang w:val="en-GB"/>
        </w:rPr>
        <w:t xml:space="preserve">In this regard, </w:t>
      </w:r>
      <w:r w:rsidR="00F01928" w:rsidRPr="00F01928">
        <w:t>the Committee re</w:t>
      </w:r>
      <w:r w:rsidR="00F01928" w:rsidRPr="00F01928">
        <w:rPr>
          <w:lang w:val="en-GB"/>
        </w:rPr>
        <w:t>calls</w:t>
      </w:r>
      <w:r w:rsidR="00CF6F98" w:rsidRPr="00F01928">
        <w:t xml:space="preserve"> that there may </w:t>
      </w:r>
      <w:r w:rsidR="00AF61DD" w:rsidRPr="00F01928">
        <w:t xml:space="preserve">be cases in which a </w:t>
      </w:r>
      <w:r w:rsidR="00AF61DD" w:rsidRPr="00F01928">
        <w:lastRenderedPageBreak/>
        <w:t>State party</w:t>
      </w:r>
      <w:r w:rsidR="00AF61DD" w:rsidRPr="00F01928">
        <w:rPr>
          <w:lang w:val="en-GB"/>
        </w:rPr>
        <w:t>’</w:t>
      </w:r>
      <w:r w:rsidR="00CF6F98" w:rsidRPr="00F01928">
        <w:t>s refusal to allow one member of a family to remain on its territory would involve interference in that person</w:t>
      </w:r>
      <w:r w:rsidR="00AF61DD" w:rsidRPr="00F01928">
        <w:rPr>
          <w:lang w:val="en-GB"/>
        </w:rPr>
        <w:t>’</w:t>
      </w:r>
      <w:r w:rsidR="00CF6F98" w:rsidRPr="00F01928">
        <w:t>s family life. However, the mere fact that certain members of the family are entitled to remain on the territory of a State party does not necessarily mean that requiring other members of the family to leave involves such interference.</w:t>
      </w:r>
      <w:r w:rsidR="00CF6F98" w:rsidRPr="009B3268">
        <w:rPr>
          <w:rStyle w:val="FootnoteReference"/>
        </w:rPr>
        <w:footnoteReference w:id="27"/>
      </w:r>
      <w:r w:rsidR="00CF6F98" w:rsidRPr="00F01928">
        <w:t xml:space="preserve"> </w:t>
      </w:r>
      <w:r w:rsidR="00CF6F98" w:rsidRPr="00E66EE0">
        <w:t xml:space="preserve">It also recalls that the separation of a person from his family by means of expulsion could be regarded as an arbitrary interference with the family and a violation of article 17 if, in the circumstances of the case, the separation of the author from </w:t>
      </w:r>
      <w:r w:rsidR="00CF6F98" w:rsidRPr="00647D5F">
        <w:t xml:space="preserve">his family and its effects on him were disproportionate to the objectives of the </w:t>
      </w:r>
      <w:r w:rsidR="00CF6F98" w:rsidRPr="00A45D23">
        <w:t>removal.</w:t>
      </w:r>
      <w:r w:rsidR="00CF6F98" w:rsidRPr="009B3268">
        <w:rPr>
          <w:rStyle w:val="FootnoteReference"/>
        </w:rPr>
        <w:footnoteReference w:id="28"/>
      </w:r>
      <w:r w:rsidR="00A45D23" w:rsidRPr="00A45D23">
        <w:rPr>
          <w:lang w:val="en-GB"/>
        </w:rPr>
        <w:t xml:space="preserve"> </w:t>
      </w:r>
    </w:p>
    <w:p w:rsidR="003376A3" w:rsidRDefault="00F01928" w:rsidP="00C213F2">
      <w:pPr>
        <w:pStyle w:val="SingleTxtG"/>
        <w:rPr>
          <w:lang w:val="en-GB"/>
        </w:rPr>
      </w:pPr>
      <w:r w:rsidRPr="00647D5F">
        <w:rPr>
          <w:lang w:val="en-GB"/>
        </w:rPr>
        <w:t>7.6</w:t>
      </w:r>
      <w:r w:rsidR="003C705F" w:rsidRPr="00647D5F">
        <w:rPr>
          <w:lang w:val="en-GB"/>
        </w:rPr>
        <w:tab/>
        <w:t>In the present case, t</w:t>
      </w:r>
      <w:r w:rsidR="003C705F" w:rsidRPr="00647D5F">
        <w:t xml:space="preserve">he Committee observes </w:t>
      </w:r>
      <w:r w:rsidR="00842944">
        <w:rPr>
          <w:lang w:val="en-US"/>
        </w:rPr>
        <w:t xml:space="preserve">that </w:t>
      </w:r>
      <w:r w:rsidR="003C705F" w:rsidRPr="00647D5F">
        <w:t xml:space="preserve">the author’s deportation to </w:t>
      </w:r>
      <w:r w:rsidR="003C705F" w:rsidRPr="00647D5F">
        <w:rPr>
          <w:lang w:val="en-GB"/>
        </w:rPr>
        <w:t>Zimbabwe</w:t>
      </w:r>
      <w:r w:rsidR="003C705F" w:rsidRPr="00647D5F">
        <w:t xml:space="preserve"> </w:t>
      </w:r>
      <w:r w:rsidR="00647D5F" w:rsidRPr="00647D5F">
        <w:rPr>
          <w:lang w:val="en-GB"/>
        </w:rPr>
        <w:t>constituted</w:t>
      </w:r>
      <w:r w:rsidR="003C705F" w:rsidRPr="00647D5F">
        <w:rPr>
          <w:lang w:val="en-GB"/>
        </w:rPr>
        <w:t xml:space="preserve"> an </w:t>
      </w:r>
      <w:r w:rsidR="00647D5F" w:rsidRPr="00647D5F">
        <w:t>interfe</w:t>
      </w:r>
      <w:r w:rsidR="00647D5F" w:rsidRPr="00647D5F">
        <w:rPr>
          <w:lang w:val="en-GB"/>
        </w:rPr>
        <w:t>rence</w:t>
      </w:r>
      <w:r w:rsidR="003C705F" w:rsidRPr="00647D5F">
        <w:t xml:space="preserve"> with his family </w:t>
      </w:r>
      <w:r w:rsidR="009B58EC" w:rsidRPr="009B58EC">
        <w:rPr>
          <w:lang w:val="en-GB"/>
        </w:rPr>
        <w:t xml:space="preserve">relations </w:t>
      </w:r>
      <w:r w:rsidR="003C705F" w:rsidRPr="00647D5F">
        <w:t xml:space="preserve">in Canada. </w:t>
      </w:r>
      <w:r w:rsidR="0070654F" w:rsidRPr="0070654F">
        <w:rPr>
          <w:lang w:val="en-GB"/>
        </w:rPr>
        <w:t>Thus</w:t>
      </w:r>
      <w:r w:rsidR="003C705F" w:rsidRPr="00647D5F">
        <w:t xml:space="preserve">, it must examine if the said interference </w:t>
      </w:r>
      <w:r w:rsidR="00842944">
        <w:rPr>
          <w:lang w:val="en-US"/>
        </w:rPr>
        <w:t>can</w:t>
      </w:r>
      <w:r w:rsidR="00842944" w:rsidRPr="00647D5F">
        <w:t xml:space="preserve"> </w:t>
      </w:r>
      <w:r w:rsidR="003C705F" w:rsidRPr="00647D5F">
        <w:t xml:space="preserve">be considered either arbitrary or unlawful. </w:t>
      </w:r>
      <w:r w:rsidR="00BC5120">
        <w:rPr>
          <w:lang w:val="en-GB"/>
        </w:rPr>
        <w:t>The</w:t>
      </w:r>
      <w:r w:rsidR="009B58EC" w:rsidRPr="00A45D23">
        <w:rPr>
          <w:lang w:val="en-GB"/>
        </w:rPr>
        <w:t xml:space="preserve"> relevant criteria for assessing whether the specific interference with family life can be objectively justified must be considered, on the one hand, in </w:t>
      </w:r>
      <w:r w:rsidR="00842944">
        <w:rPr>
          <w:lang w:val="en-GB"/>
        </w:rPr>
        <w:t xml:space="preserve">the </w:t>
      </w:r>
      <w:r w:rsidR="009B58EC" w:rsidRPr="00A45D23">
        <w:rPr>
          <w:lang w:val="en-GB"/>
        </w:rPr>
        <w:t>light of the significance of the State party’s reasons for the removal of the person concerned and, on the other, the degree of hardship the family and its members would encounter as a consequence of such removal.</w:t>
      </w:r>
      <w:r w:rsidR="009B58EC">
        <w:rPr>
          <w:lang w:val="en-GB"/>
        </w:rPr>
        <w:t xml:space="preserve"> </w:t>
      </w:r>
      <w:r w:rsidR="003C705F" w:rsidRPr="00647D5F">
        <w:rPr>
          <w:lang w:val="en-GB"/>
        </w:rPr>
        <w:t xml:space="preserve">In this regard, the </w:t>
      </w:r>
      <w:r w:rsidR="001A2E14" w:rsidRPr="00647D5F">
        <w:rPr>
          <w:lang w:val="en-GB"/>
        </w:rPr>
        <w:t>Committee</w:t>
      </w:r>
      <w:r w:rsidR="003C705F" w:rsidRPr="00647D5F">
        <w:rPr>
          <w:lang w:val="en-GB"/>
        </w:rPr>
        <w:t xml:space="preserve"> </w:t>
      </w:r>
      <w:r w:rsidR="009B58EC">
        <w:rPr>
          <w:lang w:val="en-GB"/>
        </w:rPr>
        <w:t xml:space="preserve">observes that it is not disputed that </w:t>
      </w:r>
      <w:r w:rsidR="00842944">
        <w:rPr>
          <w:lang w:val="en-US"/>
        </w:rPr>
        <w:t>in the present case the</w:t>
      </w:r>
      <w:r w:rsidR="00842944">
        <w:t xml:space="preserve"> </w:t>
      </w:r>
      <w:r w:rsidR="009B58EC">
        <w:t xml:space="preserve">interference had a legitimate purpose, namely the </w:t>
      </w:r>
      <w:r w:rsidR="009B58EC" w:rsidRPr="009B58EC">
        <w:rPr>
          <w:lang w:val="en-GB"/>
        </w:rPr>
        <w:t xml:space="preserve">protection of the State party’s society and the </w:t>
      </w:r>
      <w:r w:rsidR="009B58EC">
        <w:t xml:space="preserve">prevention of </w:t>
      </w:r>
      <w:r w:rsidR="009B58EC" w:rsidRPr="009B58EC">
        <w:rPr>
          <w:lang w:val="en-GB"/>
        </w:rPr>
        <w:t xml:space="preserve">other </w:t>
      </w:r>
      <w:r w:rsidR="009B58EC">
        <w:t>criminal offences</w:t>
      </w:r>
      <w:r w:rsidR="009B58EC" w:rsidRPr="009B58EC">
        <w:rPr>
          <w:lang w:val="en-GB"/>
        </w:rPr>
        <w:t xml:space="preserve"> by the author</w:t>
      </w:r>
      <w:r w:rsidR="009B58EC">
        <w:t>.</w:t>
      </w:r>
      <w:r w:rsidR="00BC5120" w:rsidRPr="00BC5120">
        <w:rPr>
          <w:lang w:val="en-GB"/>
        </w:rPr>
        <w:t xml:space="preserve"> </w:t>
      </w:r>
      <w:r w:rsidR="00C53845">
        <w:rPr>
          <w:lang w:val="en-GB"/>
        </w:rPr>
        <w:t xml:space="preserve">During his stay </w:t>
      </w:r>
      <w:r w:rsidR="00BC5120">
        <w:rPr>
          <w:lang w:val="en-GB"/>
        </w:rPr>
        <w:t xml:space="preserve">in Canada </w:t>
      </w:r>
      <w:r w:rsidR="00D764DA">
        <w:rPr>
          <w:lang w:val="en-GB"/>
        </w:rPr>
        <w:t>the author</w:t>
      </w:r>
      <w:r w:rsidR="00BC5120">
        <w:rPr>
          <w:lang w:val="en-GB"/>
        </w:rPr>
        <w:t xml:space="preserve"> </w:t>
      </w:r>
      <w:r w:rsidR="00C53845">
        <w:rPr>
          <w:lang w:val="en-GB"/>
        </w:rPr>
        <w:t>was</w:t>
      </w:r>
      <w:r w:rsidR="00BC5120">
        <w:rPr>
          <w:lang w:val="en-GB"/>
        </w:rPr>
        <w:t xml:space="preserve"> convicted of 11 criminal </w:t>
      </w:r>
      <w:r w:rsidR="00842944">
        <w:rPr>
          <w:lang w:val="en-GB"/>
        </w:rPr>
        <w:t xml:space="preserve">offences </w:t>
      </w:r>
      <w:r w:rsidR="00BC5120" w:rsidRPr="00843647">
        <w:rPr>
          <w:lang w:val="en-GB"/>
        </w:rPr>
        <w:t>(see</w:t>
      </w:r>
      <w:r w:rsidR="00842944">
        <w:rPr>
          <w:lang w:val="en-GB"/>
        </w:rPr>
        <w:t>,</w:t>
      </w:r>
      <w:r w:rsidR="00BC5120" w:rsidRPr="00843647">
        <w:rPr>
          <w:lang w:val="en-GB"/>
        </w:rPr>
        <w:t xml:space="preserve"> for instance</w:t>
      </w:r>
      <w:r w:rsidR="00842944">
        <w:rPr>
          <w:lang w:val="en-GB"/>
        </w:rPr>
        <w:t>,</w:t>
      </w:r>
      <w:r w:rsidR="00BC5120" w:rsidRPr="00843647">
        <w:rPr>
          <w:lang w:val="en-GB"/>
        </w:rPr>
        <w:t xml:space="preserve"> para</w:t>
      </w:r>
      <w:r w:rsidR="00842944">
        <w:rPr>
          <w:lang w:val="en-GB"/>
        </w:rPr>
        <w:t>s</w:t>
      </w:r>
      <w:r w:rsidR="00BC5120" w:rsidRPr="00843647">
        <w:rPr>
          <w:lang w:val="en-GB"/>
        </w:rPr>
        <w:t>. 2.8, 2.10 and 2.12)</w:t>
      </w:r>
      <w:r w:rsidR="00BC5120">
        <w:rPr>
          <w:lang w:val="en-GB"/>
        </w:rPr>
        <w:t xml:space="preserve"> and he failed to comply with judicial orders and immigration conditions that were imposed on him. Although</w:t>
      </w:r>
      <w:r w:rsidR="002D6FD3">
        <w:rPr>
          <w:lang w:val="en-GB"/>
        </w:rPr>
        <w:t xml:space="preserve"> eight</w:t>
      </w:r>
      <w:r w:rsidR="00842944">
        <w:rPr>
          <w:lang w:val="en-GB"/>
        </w:rPr>
        <w:t xml:space="preserve"> </w:t>
      </w:r>
      <w:r w:rsidR="00BC5120">
        <w:rPr>
          <w:lang w:val="en-GB"/>
        </w:rPr>
        <w:t xml:space="preserve">other charges of assault were subsequently withdrawn, they were serious enough to result in a court order prohibiting him from having any contact with his two extramarital partners </w:t>
      </w:r>
      <w:r w:rsidR="00E3570B">
        <w:rPr>
          <w:lang w:val="en-GB"/>
        </w:rPr>
        <w:t xml:space="preserve">— </w:t>
      </w:r>
      <w:r w:rsidR="00BC5120">
        <w:rPr>
          <w:lang w:val="en-GB"/>
        </w:rPr>
        <w:t>the alleged victims</w:t>
      </w:r>
      <w:r w:rsidR="00E3570B">
        <w:rPr>
          <w:lang w:val="en-GB"/>
        </w:rPr>
        <w:t xml:space="preserve"> —</w:t>
      </w:r>
      <w:r w:rsidR="00BC5120">
        <w:rPr>
          <w:lang w:val="en-GB"/>
        </w:rPr>
        <w:t xml:space="preserve"> for a period of one year. Further, at the </w:t>
      </w:r>
      <w:r w:rsidR="00842944">
        <w:rPr>
          <w:lang w:val="en-GB"/>
        </w:rPr>
        <w:t xml:space="preserve">time </w:t>
      </w:r>
      <w:r w:rsidR="00BC5120">
        <w:rPr>
          <w:lang w:val="en-GB"/>
        </w:rPr>
        <w:t xml:space="preserve">the author was deported to Zimbabwe he </w:t>
      </w:r>
      <w:r w:rsidR="00842944">
        <w:rPr>
          <w:lang w:val="en-GB"/>
        </w:rPr>
        <w:t xml:space="preserve">faced </w:t>
      </w:r>
      <w:r w:rsidR="00BC5120">
        <w:rPr>
          <w:lang w:val="en-GB"/>
        </w:rPr>
        <w:t xml:space="preserve">two outstanding assault charges in which the alleged victim was his wife. </w:t>
      </w:r>
      <w:r w:rsidR="00511C70">
        <w:rPr>
          <w:lang w:val="en-GB"/>
        </w:rPr>
        <w:t>T</w:t>
      </w:r>
      <w:r w:rsidR="009B58EC">
        <w:rPr>
          <w:lang w:val="en-GB"/>
        </w:rPr>
        <w:t xml:space="preserve">he Committee also observes that the author was born and lived in Zimbabwe for almost 28 years; </w:t>
      </w:r>
      <w:r w:rsidR="00B80A0F">
        <w:rPr>
          <w:lang w:val="en-GB"/>
        </w:rPr>
        <w:t xml:space="preserve">that </w:t>
      </w:r>
      <w:r w:rsidR="00D32568">
        <w:rPr>
          <w:lang w:val="en-GB"/>
        </w:rPr>
        <w:t>he studied, worked</w:t>
      </w:r>
      <w:r w:rsidR="002C6687">
        <w:rPr>
          <w:lang w:val="en-GB"/>
        </w:rPr>
        <w:t>, married</w:t>
      </w:r>
      <w:r w:rsidR="00992197">
        <w:rPr>
          <w:lang w:val="en-GB"/>
        </w:rPr>
        <w:t>,</w:t>
      </w:r>
      <w:r w:rsidR="002C6687">
        <w:rPr>
          <w:lang w:val="en-GB"/>
        </w:rPr>
        <w:t xml:space="preserve"> and had his first two children</w:t>
      </w:r>
      <w:r w:rsidR="00D32568">
        <w:rPr>
          <w:lang w:val="en-GB"/>
        </w:rPr>
        <w:t xml:space="preserve"> there</w:t>
      </w:r>
      <w:r w:rsidR="002C6687">
        <w:rPr>
          <w:lang w:val="en-GB"/>
        </w:rPr>
        <w:t>;</w:t>
      </w:r>
      <w:r w:rsidR="00D32568">
        <w:rPr>
          <w:lang w:val="en-GB"/>
        </w:rPr>
        <w:t xml:space="preserve"> </w:t>
      </w:r>
      <w:r w:rsidR="00BD1CE4">
        <w:rPr>
          <w:lang w:val="en-GB"/>
        </w:rPr>
        <w:t xml:space="preserve">that </w:t>
      </w:r>
      <w:r w:rsidR="00C53845">
        <w:rPr>
          <w:lang w:val="en-GB"/>
        </w:rPr>
        <w:t>during his</w:t>
      </w:r>
      <w:r w:rsidR="00511C70">
        <w:rPr>
          <w:lang w:val="en-GB"/>
        </w:rPr>
        <w:t xml:space="preserve"> 10</w:t>
      </w:r>
      <w:r w:rsidR="00842944">
        <w:rPr>
          <w:lang w:val="en-GB"/>
        </w:rPr>
        <w:t>-</w:t>
      </w:r>
      <w:r w:rsidR="00511C70">
        <w:rPr>
          <w:lang w:val="en-GB"/>
        </w:rPr>
        <w:t>year</w:t>
      </w:r>
      <w:r w:rsidR="00842944">
        <w:rPr>
          <w:lang w:val="en-GB"/>
        </w:rPr>
        <w:t xml:space="preserve"> </w:t>
      </w:r>
      <w:r w:rsidR="002C6687">
        <w:rPr>
          <w:lang w:val="en-GB"/>
        </w:rPr>
        <w:t xml:space="preserve">stay in Canada </w:t>
      </w:r>
      <w:r w:rsidR="00BD1CE4">
        <w:rPr>
          <w:lang w:val="en-GB"/>
        </w:rPr>
        <w:t xml:space="preserve">he was never </w:t>
      </w:r>
      <w:r w:rsidR="00842944">
        <w:rPr>
          <w:lang w:val="en-GB"/>
        </w:rPr>
        <w:t xml:space="preserve">legally </w:t>
      </w:r>
      <w:r w:rsidR="00BD1CE4">
        <w:rPr>
          <w:lang w:val="en-GB"/>
        </w:rPr>
        <w:t xml:space="preserve">entitled to reside </w:t>
      </w:r>
      <w:r w:rsidR="002C6687">
        <w:rPr>
          <w:lang w:val="en-GB"/>
        </w:rPr>
        <w:t>there</w:t>
      </w:r>
      <w:r w:rsidR="0036359E">
        <w:rPr>
          <w:lang w:val="en-GB"/>
        </w:rPr>
        <w:t>;</w:t>
      </w:r>
      <w:r w:rsidR="00511C70">
        <w:rPr>
          <w:lang w:val="en-GB"/>
        </w:rPr>
        <w:t xml:space="preserve"> that </w:t>
      </w:r>
      <w:r w:rsidR="00842944">
        <w:rPr>
          <w:lang w:val="en-GB"/>
        </w:rPr>
        <w:t xml:space="preserve">owing </w:t>
      </w:r>
      <w:r w:rsidR="00511C70">
        <w:rPr>
          <w:lang w:val="en-GB"/>
        </w:rPr>
        <w:t xml:space="preserve">to his </w:t>
      </w:r>
      <w:r w:rsidR="00B80A0F">
        <w:rPr>
          <w:lang w:val="en-GB"/>
        </w:rPr>
        <w:t>long</w:t>
      </w:r>
      <w:r w:rsidR="00511C70">
        <w:rPr>
          <w:lang w:val="en-GB"/>
        </w:rPr>
        <w:t xml:space="preserve"> absence from the family home his wife was mainly in charge of the upbringing and care of their children</w:t>
      </w:r>
      <w:r w:rsidR="0036359E">
        <w:rPr>
          <w:lang w:val="en-GB"/>
        </w:rPr>
        <w:t>;</w:t>
      </w:r>
      <w:r w:rsidR="00B80A0F">
        <w:rPr>
          <w:lang w:val="en-GB"/>
        </w:rPr>
        <w:t xml:space="preserve"> that there is no indication as to whether he </w:t>
      </w:r>
      <w:r w:rsidR="00842944">
        <w:rPr>
          <w:lang w:val="en-GB"/>
        </w:rPr>
        <w:t xml:space="preserve">had </w:t>
      </w:r>
      <w:r w:rsidR="00B80A0F">
        <w:rPr>
          <w:lang w:val="en-GB"/>
        </w:rPr>
        <w:t xml:space="preserve">provided for his children’s needs; </w:t>
      </w:r>
      <w:r w:rsidR="0036359E">
        <w:rPr>
          <w:lang w:val="en-GB"/>
        </w:rPr>
        <w:t xml:space="preserve">and that the information provided by the author </w:t>
      </w:r>
      <w:r w:rsidR="00B80A0F">
        <w:rPr>
          <w:lang w:val="en-GB"/>
        </w:rPr>
        <w:t xml:space="preserve">is vague and </w:t>
      </w:r>
      <w:r w:rsidR="0036359E">
        <w:rPr>
          <w:lang w:val="en-GB"/>
        </w:rPr>
        <w:t xml:space="preserve">does not allow </w:t>
      </w:r>
      <w:r w:rsidR="00B80A0F">
        <w:rPr>
          <w:lang w:val="en-GB"/>
        </w:rPr>
        <w:t xml:space="preserve">the Committee to assess the kind of ties he kept with his wife and </w:t>
      </w:r>
      <w:r w:rsidR="0036359E">
        <w:rPr>
          <w:lang w:val="en-GB"/>
        </w:rPr>
        <w:t>children</w:t>
      </w:r>
      <w:r w:rsidR="00D32568">
        <w:rPr>
          <w:lang w:val="en-GB"/>
        </w:rPr>
        <w:t xml:space="preserve">. Even if his wife and children stay in Canada, the Committee observes that there is no legal obstacle that </w:t>
      </w:r>
      <w:r w:rsidR="00842944">
        <w:rPr>
          <w:lang w:val="en-GB"/>
        </w:rPr>
        <w:t xml:space="preserve">would </w:t>
      </w:r>
      <w:r w:rsidR="00D32568">
        <w:rPr>
          <w:lang w:val="en-GB"/>
        </w:rPr>
        <w:t>prevent them from visiting the author in Zimbabwe</w:t>
      </w:r>
      <w:r w:rsidR="0036359E">
        <w:rPr>
          <w:lang w:val="en-GB"/>
        </w:rPr>
        <w:t xml:space="preserve"> at any time</w:t>
      </w:r>
      <w:r w:rsidR="00D32568">
        <w:rPr>
          <w:lang w:val="en-GB"/>
        </w:rPr>
        <w:t>.</w:t>
      </w:r>
      <w:r w:rsidR="002C6687">
        <w:rPr>
          <w:lang w:val="en-GB"/>
        </w:rPr>
        <w:t xml:space="preserve"> </w:t>
      </w:r>
      <w:r w:rsidR="00B80A0F">
        <w:rPr>
          <w:lang w:val="en-GB"/>
        </w:rPr>
        <w:t xml:space="preserve">Accordingly, the Committee considers that, in the circumstances of the case, the interference with the author’s family life </w:t>
      </w:r>
      <w:r w:rsidR="00D94973">
        <w:rPr>
          <w:lang w:val="en-GB"/>
        </w:rPr>
        <w:t xml:space="preserve">has not been shown to be disproportionate to the legitimate aim of preventing the commission of further crimes. The Committee therefore concludes that the author’s removal to Zimbabwe did not constitute </w:t>
      </w:r>
      <w:r w:rsidR="00527FC3">
        <w:rPr>
          <w:lang w:val="en-GB"/>
        </w:rPr>
        <w:t>a violation of his rights under articles</w:t>
      </w:r>
      <w:r w:rsidR="0017252F">
        <w:rPr>
          <w:lang w:val="en-GB"/>
        </w:rPr>
        <w:t xml:space="preserve"> 17 and 23</w:t>
      </w:r>
      <w:r w:rsidR="00842944">
        <w:rPr>
          <w:lang w:val="en-GB"/>
        </w:rPr>
        <w:t xml:space="preserve"> </w:t>
      </w:r>
      <w:r w:rsidR="0017252F">
        <w:rPr>
          <w:lang w:val="en-GB"/>
        </w:rPr>
        <w:t>(1) of the Covenant.</w:t>
      </w:r>
    </w:p>
    <w:p w:rsidR="00527FC3" w:rsidRPr="00AE7D12" w:rsidRDefault="00527FC3" w:rsidP="00C213F2">
      <w:pPr>
        <w:pStyle w:val="SingleTxtG"/>
        <w:rPr>
          <w:lang w:eastAsia="fr-FR"/>
        </w:rPr>
      </w:pPr>
      <w:r>
        <w:rPr>
          <w:lang w:eastAsia="en-GB"/>
        </w:rPr>
        <w:t>8.</w:t>
      </w:r>
      <w:r>
        <w:rPr>
          <w:lang w:eastAsia="en-GB"/>
        </w:rPr>
        <w:tab/>
      </w:r>
      <w:r w:rsidRPr="00AE7D12">
        <w:rPr>
          <w:lang w:eastAsia="en-GB"/>
        </w:rPr>
        <w:t>The Human Rights Committee, acting under article 5</w:t>
      </w:r>
      <w:r w:rsidR="00992197">
        <w:rPr>
          <w:lang w:val="en-US" w:eastAsia="en-GB"/>
        </w:rPr>
        <w:t xml:space="preserve"> </w:t>
      </w:r>
      <w:r w:rsidR="0095631A" w:rsidRPr="009B3268">
        <w:rPr>
          <w:lang w:val="en-US" w:eastAsia="en-GB"/>
        </w:rPr>
        <w:t>(</w:t>
      </w:r>
      <w:r w:rsidRPr="00AE7D12">
        <w:rPr>
          <w:lang w:eastAsia="en-GB"/>
        </w:rPr>
        <w:t xml:space="preserve"> 4</w:t>
      </w:r>
      <w:r w:rsidR="0095631A" w:rsidRPr="009B3268">
        <w:rPr>
          <w:lang w:val="en-US" w:eastAsia="en-GB"/>
        </w:rPr>
        <w:t>)</w:t>
      </w:r>
      <w:r w:rsidR="00992197">
        <w:rPr>
          <w:lang w:val="en-US" w:eastAsia="en-GB"/>
        </w:rPr>
        <w:t xml:space="preserve"> </w:t>
      </w:r>
      <w:r w:rsidRPr="00AE7D12">
        <w:rPr>
          <w:lang w:eastAsia="en-GB"/>
        </w:rPr>
        <w:t xml:space="preserve"> of the Optional Protocol</w:t>
      </w:r>
      <w:r w:rsidRPr="00AE7D12">
        <w:rPr>
          <w:lang w:eastAsia="fr-FR"/>
        </w:rPr>
        <w:t xml:space="preserve"> to the International Covenant on Civil </w:t>
      </w:r>
      <w:r w:rsidRPr="006C7B0B">
        <w:t>and</w:t>
      </w:r>
      <w:r w:rsidRPr="00AE7D12">
        <w:rPr>
          <w:lang w:eastAsia="fr-FR"/>
        </w:rPr>
        <w:t xml:space="preserve"> Political Rights, is of the view that the author’s removal to </w:t>
      </w:r>
      <w:r>
        <w:rPr>
          <w:lang w:eastAsia="fr-FR"/>
        </w:rPr>
        <w:t>Zimbabwe</w:t>
      </w:r>
      <w:r w:rsidRPr="00AE7D12">
        <w:rPr>
          <w:lang w:eastAsia="fr-FR"/>
        </w:rPr>
        <w:t xml:space="preserve"> </w:t>
      </w:r>
      <w:r w:rsidR="00281ED0">
        <w:rPr>
          <w:lang w:eastAsia="fr-FR"/>
        </w:rPr>
        <w:t xml:space="preserve">did </w:t>
      </w:r>
      <w:r w:rsidRPr="00AE7D12">
        <w:rPr>
          <w:lang w:eastAsia="fr-FR"/>
        </w:rPr>
        <w:t>not violate his rights under the Covenant.</w:t>
      </w:r>
    </w:p>
    <w:p w:rsidR="001F493D" w:rsidRPr="003832DC" w:rsidRDefault="001F493D" w:rsidP="001F493D">
      <w:pPr>
        <w:pStyle w:val="SingleTxtG"/>
        <w:spacing w:before="240" w:after="0" w:line="480" w:lineRule="auto"/>
        <w:jc w:val="center"/>
        <w:rPr>
          <w:u w:val="single"/>
          <w:lang w:val="en-GB"/>
        </w:rPr>
      </w:pPr>
      <w:r w:rsidRPr="003832DC">
        <w:rPr>
          <w:u w:val="single"/>
          <w:lang w:val="en-GB"/>
        </w:rPr>
        <w:tab/>
      </w:r>
      <w:r w:rsidRPr="003832DC">
        <w:rPr>
          <w:u w:val="single"/>
          <w:lang w:val="en-GB"/>
        </w:rPr>
        <w:tab/>
      </w:r>
      <w:r w:rsidRPr="003832DC">
        <w:rPr>
          <w:u w:val="single"/>
          <w:lang w:val="en-GB"/>
        </w:rPr>
        <w:tab/>
      </w:r>
    </w:p>
    <w:sectPr w:rsidR="001F493D" w:rsidRPr="003832DC" w:rsidSect="008615B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06" w:rsidRDefault="00485D06"/>
  </w:endnote>
  <w:endnote w:type="continuationSeparator" w:id="0">
    <w:p w:rsidR="00485D06" w:rsidRDefault="00485D06"/>
  </w:endnote>
  <w:endnote w:type="continuationNotice" w:id="1">
    <w:p w:rsidR="00485D06" w:rsidRDefault="00485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3" w:rsidRPr="00E0440B" w:rsidRDefault="006E7493" w:rsidP="001F493D">
    <w:pPr>
      <w:pStyle w:val="Footer"/>
      <w:tabs>
        <w:tab w:val="right" w:pos="9638"/>
      </w:tabs>
    </w:pP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AE5C59">
      <w:rPr>
        <w:b/>
        <w:noProof/>
        <w:sz w:val="18"/>
      </w:rPr>
      <w:t>14</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3" w:rsidRPr="00E0440B" w:rsidRDefault="006E7493" w:rsidP="001F493D">
    <w:pPr>
      <w:pStyle w:val="Footer"/>
      <w:tabs>
        <w:tab w:val="right" w:pos="9638"/>
      </w:tabs>
      <w:rPr>
        <w:b/>
        <w:sz w:val="18"/>
      </w:rPr>
    </w:pPr>
    <w:r>
      <w:tab/>
    </w: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AE5C59">
      <w:rPr>
        <w:b/>
        <w:noProof/>
        <w:sz w:val="18"/>
      </w:rPr>
      <w:t>13</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6D" w:rsidRDefault="009D376D">
    <w:pPr>
      <w:pStyle w:val="Footer"/>
      <w:rPr>
        <w:sz w:val="20"/>
      </w:rPr>
    </w:pPr>
    <w:r>
      <w:rPr>
        <w:sz w:val="20"/>
      </w:rPr>
      <w:t>GE.16-07181(E)</w:t>
    </w:r>
  </w:p>
  <w:p w:rsidR="009D376D" w:rsidRPr="009D376D" w:rsidRDefault="009D376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116/D/206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60/20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06" w:rsidRPr="000B175B" w:rsidRDefault="00485D06" w:rsidP="001F493D">
      <w:pPr>
        <w:tabs>
          <w:tab w:val="right" w:pos="2155"/>
        </w:tabs>
        <w:spacing w:after="80"/>
        <w:ind w:left="680"/>
        <w:rPr>
          <w:u w:val="single"/>
        </w:rPr>
      </w:pPr>
      <w:r>
        <w:rPr>
          <w:u w:val="single"/>
        </w:rPr>
        <w:tab/>
      </w:r>
    </w:p>
  </w:footnote>
  <w:footnote w:type="continuationSeparator" w:id="0">
    <w:p w:rsidR="00485D06" w:rsidRPr="00FC68B7" w:rsidRDefault="00485D06" w:rsidP="001F493D">
      <w:pPr>
        <w:tabs>
          <w:tab w:val="left" w:pos="2155"/>
        </w:tabs>
        <w:spacing w:after="80"/>
        <w:ind w:left="680"/>
        <w:rPr>
          <w:u w:val="single"/>
        </w:rPr>
      </w:pPr>
      <w:r>
        <w:rPr>
          <w:u w:val="single"/>
        </w:rPr>
        <w:tab/>
      </w:r>
    </w:p>
  </w:footnote>
  <w:footnote w:type="continuationNotice" w:id="1">
    <w:p w:rsidR="00485D06" w:rsidRDefault="00485D06"/>
  </w:footnote>
  <w:footnote w:id="2">
    <w:p w:rsidR="006E7493" w:rsidRPr="009B3268" w:rsidRDefault="006E7493" w:rsidP="00356018">
      <w:pPr>
        <w:pStyle w:val="FootnoteText"/>
        <w:rPr>
          <w:lang w:val="en-US"/>
        </w:rPr>
      </w:pPr>
      <w:r>
        <w:rPr>
          <w:rStyle w:val="FootnoteReference"/>
        </w:rPr>
        <w:tab/>
      </w:r>
      <w:r w:rsidRPr="000D3758">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9B3268">
        <w:rPr>
          <w:lang w:val="en-US"/>
        </w:rPr>
        <w:t>116th</w:t>
      </w:r>
      <w:r w:rsidRPr="009E4187">
        <w:t xml:space="preserve"> session (</w:t>
      </w:r>
      <w:r w:rsidRPr="009B3268">
        <w:rPr>
          <w:lang w:val="en-US"/>
        </w:rPr>
        <w:t>7-31 March 2016</w:t>
      </w:r>
      <w:r w:rsidRPr="009E4187">
        <w:t>).</w:t>
      </w:r>
      <w:proofErr w:type="gramEnd"/>
    </w:p>
  </w:footnote>
  <w:footnote w:id="3">
    <w:p w:rsidR="006E7493" w:rsidRPr="009B3268" w:rsidRDefault="006E7493" w:rsidP="00356018">
      <w:pPr>
        <w:pStyle w:val="FootnoteText"/>
        <w:rPr>
          <w:lang w:val="en-US"/>
        </w:rPr>
      </w:pPr>
      <w:r w:rsidRPr="00CB4616">
        <w:rPr>
          <w:rStyle w:val="FootnoteReference"/>
          <w:sz w:val="20"/>
        </w:rPr>
        <w:tab/>
      </w:r>
      <w:r w:rsidRPr="00CB4616">
        <w:rPr>
          <w:rStyle w:val="FootnoteReference"/>
          <w:sz w:val="20"/>
          <w:vertAlign w:val="baseline"/>
        </w:rPr>
        <w:t>**</w:t>
      </w:r>
      <w:r w:rsidRPr="009B3268">
        <w:rPr>
          <w:lang w:val="en-US"/>
        </w:rPr>
        <w:tab/>
      </w:r>
      <w:r w:rsidRPr="00A45F95">
        <w:t xml:space="preserve">The following members of the Committee participated in the examination of the present communication: </w:t>
      </w:r>
      <w:r w:rsidRPr="00356018">
        <w:t>Yadh Ben Achour, Lazhari Bouzid, Sarah Cleveland, Yuji Iwasawa, Ivana Jeli</w:t>
      </w:r>
      <w:r>
        <w:t>ć</w:t>
      </w:r>
      <w:r w:rsidRPr="00356018">
        <w:t>, Duncan Laki Muhumuza, Mauro Politi, Sir Nigel Rodley, V</w:t>
      </w:r>
      <w:r>
        <w:t>í</w:t>
      </w:r>
      <w:r w:rsidRPr="00356018">
        <w:t>ctor Manuel Rodríguez-Rescia, Fabián Omar Salvioli, Anja Seibert-Fohr, Yuval Shany, Konstantine Vardzelashvili and Margo Waterval</w:t>
      </w:r>
      <w:r w:rsidRPr="00A45F95">
        <w:t>.</w:t>
      </w:r>
    </w:p>
  </w:footnote>
  <w:footnote w:id="4">
    <w:p w:rsidR="006E7493" w:rsidRPr="002D6E83" w:rsidRDefault="006E7493" w:rsidP="00672CFD">
      <w:pPr>
        <w:pStyle w:val="FootnoteText"/>
      </w:pPr>
      <w:r w:rsidRPr="009D2FF3">
        <w:tab/>
      </w:r>
      <w:r>
        <w:rPr>
          <w:rStyle w:val="FootnoteReference"/>
        </w:rPr>
        <w:footnoteRef/>
      </w:r>
      <w:r w:rsidRPr="00612849">
        <w:tab/>
      </w:r>
      <w:r w:rsidRPr="002D6E83">
        <w:t>The author</w:t>
      </w:r>
      <w:r>
        <w:t xml:space="preserve">’s </w:t>
      </w:r>
      <w:r w:rsidRPr="002D6E83">
        <w:t>claims under article 14</w:t>
      </w:r>
      <w:r>
        <w:t xml:space="preserve"> </w:t>
      </w:r>
      <w:r w:rsidRPr="002D6E83">
        <w:t>(1)</w:t>
      </w:r>
      <w:r>
        <w:t xml:space="preserve"> </w:t>
      </w:r>
      <w:r w:rsidRPr="002D6E83">
        <w:t>(2)</w:t>
      </w:r>
      <w:r>
        <w:t xml:space="preserve"> </w:t>
      </w:r>
      <w:r w:rsidRPr="002D6E83">
        <w:t>and (3</w:t>
      </w:r>
      <w:r>
        <w:t>) (</w:t>
      </w:r>
      <w:r w:rsidRPr="002D6E83">
        <w:t>c) we</w:t>
      </w:r>
      <w:r>
        <w:t xml:space="preserve">re submitted to the Committee in his comments of 16 February </w:t>
      </w:r>
      <w:r w:rsidRPr="00F125DA">
        <w:t xml:space="preserve">2012 </w:t>
      </w:r>
      <w:r>
        <w:t xml:space="preserve">on the State party’s observations on admissibility and the merits </w:t>
      </w:r>
      <w:r w:rsidRPr="00F125DA">
        <w:t xml:space="preserve">(see </w:t>
      </w:r>
      <w:r>
        <w:t xml:space="preserve">para. </w:t>
      </w:r>
      <w:r w:rsidRPr="00F125DA">
        <w:t>5.6)</w:t>
      </w:r>
      <w:r>
        <w:t>.</w:t>
      </w:r>
    </w:p>
  </w:footnote>
  <w:footnote w:id="5">
    <w:p w:rsidR="006E7493" w:rsidRPr="001E6703" w:rsidRDefault="006E7493" w:rsidP="00A818CB">
      <w:pPr>
        <w:pStyle w:val="FootnoteText"/>
      </w:pPr>
      <w:r w:rsidRPr="00EF7D62">
        <w:tab/>
      </w:r>
      <w:r>
        <w:rPr>
          <w:rStyle w:val="FootnoteReference"/>
        </w:rPr>
        <w:footnoteRef/>
      </w:r>
      <w:r w:rsidRPr="00EF7D62">
        <w:tab/>
      </w:r>
      <w:r w:rsidRPr="001E6703">
        <w:t xml:space="preserve">International Crisis Group, </w:t>
      </w:r>
      <w:r>
        <w:t>“</w:t>
      </w:r>
      <w:r w:rsidRPr="001E6703">
        <w:t xml:space="preserve">Zimbabwe: </w:t>
      </w:r>
      <w:r>
        <w:t>e</w:t>
      </w:r>
      <w:r w:rsidRPr="001E6703">
        <w:t xml:space="preserve">ngaging the inclusive </w:t>
      </w:r>
      <w:r>
        <w:t>G</w:t>
      </w:r>
      <w:r w:rsidRPr="001E6703">
        <w:t>overnment</w:t>
      </w:r>
      <w:r>
        <w:t>”, Africa Briefing No</w:t>
      </w:r>
      <w:r w:rsidR="00237556">
        <w:t>.</w:t>
      </w:r>
      <w:r>
        <w:t xml:space="preserve"> 59, </w:t>
      </w:r>
      <w:r w:rsidRPr="001E6703">
        <w:t xml:space="preserve">20 April </w:t>
      </w:r>
      <w:r>
        <w:t>2009; and Human Rights Watch, “False dawn: the Zimbabwe power-sharing Government’s failure to deliver human rights improvements”, 31 August 2009.</w:t>
      </w:r>
    </w:p>
  </w:footnote>
  <w:footnote w:id="6">
    <w:p w:rsidR="006E7493" w:rsidRPr="00802146" w:rsidRDefault="006E7493" w:rsidP="00A818CB">
      <w:pPr>
        <w:pStyle w:val="FootnoteText"/>
      </w:pPr>
      <w:r w:rsidRPr="00EF7D62">
        <w:rPr>
          <w:szCs w:val="18"/>
        </w:rPr>
        <w:tab/>
      </w:r>
      <w:r w:rsidRPr="00617BC6">
        <w:rPr>
          <w:rStyle w:val="FootnoteReference"/>
          <w:szCs w:val="18"/>
        </w:rPr>
        <w:footnoteRef/>
      </w:r>
      <w:r w:rsidRPr="00EF7D62">
        <w:rPr>
          <w:szCs w:val="18"/>
        </w:rPr>
        <w:tab/>
      </w:r>
      <w:r w:rsidRPr="00617BC6">
        <w:rPr>
          <w:szCs w:val="18"/>
        </w:rPr>
        <w:t>United Kingdom</w:t>
      </w:r>
      <w:r>
        <w:rPr>
          <w:szCs w:val="18"/>
        </w:rPr>
        <w:t xml:space="preserve"> </w:t>
      </w:r>
      <w:r w:rsidRPr="00617BC6">
        <w:rPr>
          <w:szCs w:val="18"/>
        </w:rPr>
        <w:t xml:space="preserve">Home Office, </w:t>
      </w:r>
      <w:r w:rsidRPr="009B3268">
        <w:rPr>
          <w:i/>
          <w:szCs w:val="18"/>
        </w:rPr>
        <w:t>Country of Origin Information Report: Zimbabwe</w:t>
      </w:r>
      <w:r>
        <w:rPr>
          <w:szCs w:val="18"/>
        </w:rPr>
        <w:t xml:space="preserve">, </w:t>
      </w:r>
      <w:r w:rsidRPr="00617BC6">
        <w:rPr>
          <w:szCs w:val="18"/>
        </w:rPr>
        <w:t>20</w:t>
      </w:r>
      <w:r>
        <w:t xml:space="preserve"> July 2009.</w:t>
      </w:r>
    </w:p>
  </w:footnote>
  <w:footnote w:id="7">
    <w:p w:rsidR="006E7493" w:rsidRPr="00802146" w:rsidRDefault="006E7493" w:rsidP="00A818CB">
      <w:pPr>
        <w:pStyle w:val="FootnoteText"/>
      </w:pPr>
      <w:r w:rsidRPr="00EF7D62">
        <w:tab/>
      </w:r>
      <w:r>
        <w:rPr>
          <w:rStyle w:val="FootnoteReference"/>
        </w:rPr>
        <w:footnoteRef/>
      </w:r>
      <w:r w:rsidRPr="00EF7D62">
        <w:tab/>
      </w:r>
      <w:proofErr w:type="gramStart"/>
      <w:r>
        <w:t>“Treatment of HIV positive persons in Zimbabwe”, Refugee Documentation Centre (Ireland), 25 September 2009.</w:t>
      </w:r>
      <w:proofErr w:type="gramEnd"/>
      <w:r>
        <w:t xml:space="preserve"> </w:t>
      </w:r>
    </w:p>
  </w:footnote>
  <w:footnote w:id="8">
    <w:p w:rsidR="006E7493" w:rsidRPr="004E52E1" w:rsidRDefault="006E7493" w:rsidP="00A818CB">
      <w:pPr>
        <w:pStyle w:val="FootnoteText"/>
      </w:pPr>
      <w:r w:rsidRPr="00EF7D62">
        <w:tab/>
      </w:r>
      <w:r>
        <w:rPr>
          <w:rStyle w:val="FootnoteReference"/>
        </w:rPr>
        <w:footnoteRef/>
      </w:r>
      <w:r w:rsidRPr="00EF7D62">
        <w:tab/>
      </w:r>
      <w:proofErr w:type="gramStart"/>
      <w:r>
        <w:t>United Kingdom</w:t>
      </w:r>
      <w:r w:rsidRPr="004E52E1">
        <w:t xml:space="preserve"> </w:t>
      </w:r>
      <w:r>
        <w:t xml:space="preserve">House of Commons, International Development Committee, </w:t>
      </w:r>
      <w:r w:rsidRPr="009B3268">
        <w:rPr>
          <w:i/>
        </w:rPr>
        <w:t>DFID’s Assistance to Zimbabwe</w:t>
      </w:r>
      <w:r>
        <w:t>, Eighth Report of Session 2009-10, vol.</w:t>
      </w:r>
      <w:proofErr w:type="gramEnd"/>
      <w:r>
        <w:t xml:space="preserve"> </w:t>
      </w:r>
      <w:proofErr w:type="gramStart"/>
      <w:r>
        <w:t>I (London, 2010), para.</w:t>
      </w:r>
      <w:proofErr w:type="gramEnd"/>
      <w:r>
        <w:t xml:space="preserve"> 116.</w:t>
      </w:r>
    </w:p>
  </w:footnote>
  <w:footnote w:id="9">
    <w:p w:rsidR="006E7493" w:rsidRPr="007875FA" w:rsidRDefault="006E7493" w:rsidP="00A818CB">
      <w:pPr>
        <w:pStyle w:val="FootnoteText"/>
      </w:pPr>
      <w:r w:rsidRPr="00EF7D62">
        <w:tab/>
      </w:r>
      <w:r>
        <w:rPr>
          <w:rStyle w:val="FootnoteReference"/>
        </w:rPr>
        <w:footnoteRef/>
      </w:r>
      <w:r w:rsidRPr="00EF7D62">
        <w:tab/>
      </w:r>
      <w:proofErr w:type="gramStart"/>
      <w:r>
        <w:t xml:space="preserve">Food and Agriculture Organization of the United Nations/World Food Programme, </w:t>
      </w:r>
      <w:r w:rsidRPr="009B3268">
        <w:rPr>
          <w:i/>
        </w:rPr>
        <w:t>FAO/WFP Crop and Food Security Assessment Mission to Zimbabwe</w:t>
      </w:r>
      <w:r>
        <w:rPr>
          <w:i/>
        </w:rPr>
        <w:t xml:space="preserve"> </w:t>
      </w:r>
      <w:r>
        <w:t>(Rome, 2010).</w:t>
      </w:r>
      <w:proofErr w:type="gramEnd"/>
    </w:p>
  </w:footnote>
  <w:footnote w:id="10">
    <w:p w:rsidR="006E7493" w:rsidRPr="00327CAB" w:rsidRDefault="006E7493" w:rsidP="00A818CB">
      <w:pPr>
        <w:pStyle w:val="FootnoteText"/>
      </w:pPr>
      <w:r w:rsidRPr="00EF7D62">
        <w:tab/>
      </w:r>
      <w:r>
        <w:rPr>
          <w:rStyle w:val="FootnoteReference"/>
        </w:rPr>
        <w:footnoteRef/>
      </w:r>
      <w:r w:rsidRPr="00EF7D62">
        <w:tab/>
      </w:r>
      <w:r w:rsidRPr="009B3268">
        <w:rPr>
          <w:i/>
        </w:rPr>
        <w:t>Physicians for Human Rights, Health in Ruins: A Man-Made Disaster in Zimbabwe</w:t>
      </w:r>
      <w:r w:rsidRPr="00327CAB">
        <w:t xml:space="preserve"> (</w:t>
      </w:r>
      <w:r>
        <w:t>Cambridge, Massachusetts,</w:t>
      </w:r>
      <w:r w:rsidRPr="00327CAB">
        <w:t xml:space="preserve"> 2009)</w:t>
      </w:r>
      <w:r>
        <w:t>.</w:t>
      </w:r>
    </w:p>
  </w:footnote>
  <w:footnote w:id="11">
    <w:p w:rsidR="006E7493" w:rsidRPr="00DA0843" w:rsidRDefault="006E7493" w:rsidP="00237556">
      <w:pPr>
        <w:pStyle w:val="FootnoteText"/>
      </w:pPr>
      <w:r w:rsidRPr="00EF7D62">
        <w:tab/>
      </w:r>
      <w:r>
        <w:rPr>
          <w:rStyle w:val="FootnoteReference"/>
        </w:rPr>
        <w:footnoteRef/>
      </w:r>
      <w:r w:rsidRPr="00EF7D62">
        <w:tab/>
      </w:r>
      <w:r w:rsidRPr="005C1329">
        <w:t>Government of Zimbabwe,</w:t>
      </w:r>
      <w:r w:rsidRPr="009B3268">
        <w:rPr>
          <w:i/>
        </w:rPr>
        <w:t xml:space="preserve"> </w:t>
      </w:r>
      <w:r w:rsidRPr="00994C7D">
        <w:t>United Nations General Assembly Special Session Report on HIV and AIDS: Follow-Up to the Declaration of C</w:t>
      </w:r>
      <w:r w:rsidRPr="009B3268">
        <w:t>ommitment on HIV and AID</w:t>
      </w:r>
      <w:r w:rsidR="00237556" w:rsidRPr="009B3268">
        <w:t>S</w:t>
      </w:r>
      <w:r w:rsidRPr="009B3268">
        <w:t xml:space="preserve"> -</w:t>
      </w:r>
      <w:r w:rsidRPr="00994C7D">
        <w:t xml:space="preserve"> Zimbabwe Country Repor</w:t>
      </w:r>
      <w:r w:rsidRPr="009B3268">
        <w:t xml:space="preserve">t. </w:t>
      </w:r>
      <w:proofErr w:type="gramStart"/>
      <w:r w:rsidRPr="009B3268">
        <w:t>R</w:t>
      </w:r>
      <w:r w:rsidRPr="00994C7D">
        <w:t xml:space="preserve">eporting </w:t>
      </w:r>
      <w:r w:rsidRPr="009B3268">
        <w:t>P</w:t>
      </w:r>
      <w:r w:rsidRPr="00994C7D">
        <w:t>eriod: January 2008 to December 2009</w:t>
      </w:r>
      <w:r w:rsidRPr="009B3268">
        <w:rPr>
          <w:i/>
        </w:rPr>
        <w:t>.</w:t>
      </w:r>
      <w:proofErr w:type="gramEnd"/>
    </w:p>
  </w:footnote>
  <w:footnote w:id="12">
    <w:p w:rsidR="006E7493" w:rsidRPr="00892FF2" w:rsidRDefault="006E7493" w:rsidP="00A818CB">
      <w:pPr>
        <w:pStyle w:val="FootnoteText"/>
      </w:pPr>
      <w:r w:rsidRPr="00EF7D62">
        <w:tab/>
      </w:r>
      <w:r>
        <w:rPr>
          <w:rStyle w:val="FootnoteReference"/>
        </w:rPr>
        <w:footnoteRef/>
      </w:r>
      <w:r w:rsidRPr="00EF7D62">
        <w:tab/>
      </w:r>
      <w:r>
        <w:t>Human R</w:t>
      </w:r>
      <w:r w:rsidRPr="00892FF2">
        <w:t>ights Watch</w:t>
      </w:r>
      <w:r>
        <w:t xml:space="preserve">, </w:t>
      </w:r>
      <w:r w:rsidRPr="009B3268">
        <w:rPr>
          <w:i/>
        </w:rPr>
        <w:t>Perpetual Fear: Impunity and Cycles of Violence in Zimbabwe</w:t>
      </w:r>
      <w:r>
        <w:t xml:space="preserve"> </w:t>
      </w:r>
      <w:r w:rsidR="00DC0798">
        <w:t>(</w:t>
      </w:r>
      <w:r>
        <w:t>8 March 2011</w:t>
      </w:r>
      <w:r w:rsidR="00DC0798">
        <w:t>)</w:t>
      </w:r>
      <w:r>
        <w:t xml:space="preserve">. </w:t>
      </w:r>
    </w:p>
  </w:footnote>
  <w:footnote w:id="13">
    <w:p w:rsidR="006E7493" w:rsidRPr="00A01DCD" w:rsidRDefault="006E7493" w:rsidP="00A818CB">
      <w:pPr>
        <w:pStyle w:val="FootnoteText"/>
      </w:pPr>
      <w:r w:rsidRPr="00EF7D62">
        <w:tab/>
      </w:r>
      <w:r>
        <w:rPr>
          <w:rStyle w:val="FootnoteReference"/>
        </w:rPr>
        <w:footnoteRef/>
      </w:r>
      <w:r w:rsidRPr="00EF7D62">
        <w:tab/>
      </w:r>
      <w:r>
        <w:t>See</w:t>
      </w:r>
      <w:r w:rsidRPr="00A01DCD">
        <w:t xml:space="preserve"> </w:t>
      </w:r>
      <w:r>
        <w:t>c</w:t>
      </w:r>
      <w:r w:rsidRPr="00A01DCD">
        <w:t xml:space="preserve">ommunication No. </w:t>
      </w:r>
      <w:r>
        <w:t xml:space="preserve">1792/2008, </w:t>
      </w:r>
      <w:r w:rsidRPr="009B3268">
        <w:rPr>
          <w:i/>
        </w:rPr>
        <w:t>Dauphin</w:t>
      </w:r>
      <w:r w:rsidRPr="000D3758">
        <w:rPr>
          <w:i/>
        </w:rPr>
        <w:t xml:space="preserve"> v. </w:t>
      </w:r>
      <w:r w:rsidRPr="009B3268">
        <w:rPr>
          <w:i/>
        </w:rPr>
        <w:t>Canada</w:t>
      </w:r>
      <w:r>
        <w:t xml:space="preserve">, Views adopted on 28 July 2009. </w:t>
      </w:r>
    </w:p>
  </w:footnote>
  <w:footnote w:id="14">
    <w:p w:rsidR="006E7493" w:rsidRPr="00E8486E" w:rsidRDefault="006E7493" w:rsidP="00A818CB">
      <w:pPr>
        <w:pStyle w:val="FootnoteText"/>
      </w:pPr>
      <w:r w:rsidRPr="00EF7D62">
        <w:tab/>
      </w:r>
      <w:r>
        <w:rPr>
          <w:rStyle w:val="FootnoteReference"/>
        </w:rPr>
        <w:footnoteRef/>
      </w:r>
      <w:r w:rsidRPr="00EF7D62">
        <w:tab/>
      </w:r>
      <w:r>
        <w:t>See</w:t>
      </w:r>
      <w:r w:rsidRPr="0049233A">
        <w:t xml:space="preserve"> communications No. </w:t>
      </w:r>
      <w:r>
        <w:t xml:space="preserve">1580/2007, </w:t>
      </w:r>
      <w:r>
        <w:rPr>
          <w:i/>
        </w:rPr>
        <w:t>F.M.</w:t>
      </w:r>
      <w:r w:rsidRPr="00E3570B">
        <w:rPr>
          <w:i/>
        </w:rPr>
        <w:t xml:space="preserve"> </w:t>
      </w:r>
      <w:r w:rsidRPr="009B3268">
        <w:rPr>
          <w:i/>
          <w:lang w:val="en-US"/>
        </w:rPr>
        <w:t>v. Canada</w:t>
      </w:r>
      <w:r w:rsidRPr="009B3268">
        <w:rPr>
          <w:iCs/>
          <w:lang w:val="en-US"/>
        </w:rPr>
        <w:t>,</w:t>
      </w:r>
      <w:r w:rsidRPr="009B3268">
        <w:rPr>
          <w:lang w:val="en-US"/>
        </w:rPr>
        <w:t xml:space="preserve"> decision of inadmissibility adopted on 30 October 2008, para. </w:t>
      </w:r>
      <w:proofErr w:type="gramStart"/>
      <w:r w:rsidRPr="009B3268">
        <w:rPr>
          <w:lang w:val="en-US"/>
        </w:rPr>
        <w:t xml:space="preserve">6.3; No. 1578/2007, </w:t>
      </w:r>
      <w:r w:rsidRPr="009B3268">
        <w:rPr>
          <w:i/>
          <w:lang w:val="en-US"/>
        </w:rPr>
        <w:t>Dastgir v. Canada</w:t>
      </w:r>
      <w:r w:rsidRPr="009B3268">
        <w:rPr>
          <w:iCs/>
          <w:lang w:val="en-US"/>
        </w:rPr>
        <w:t>,</w:t>
      </w:r>
      <w:r w:rsidRPr="009B3268">
        <w:rPr>
          <w:lang w:val="en-US"/>
        </w:rPr>
        <w:t xml:space="preserve"> decision of inadmissibility adopted on 30 October 2008, para.</w:t>
      </w:r>
      <w:proofErr w:type="gramEnd"/>
      <w:r w:rsidRPr="009B3268">
        <w:rPr>
          <w:lang w:val="en-US"/>
        </w:rPr>
        <w:t xml:space="preserve"> </w:t>
      </w:r>
      <w:proofErr w:type="gramStart"/>
      <w:r w:rsidRPr="009B3268">
        <w:rPr>
          <w:lang w:val="en-US"/>
        </w:rPr>
        <w:t xml:space="preserve">6.2; and No. 939/2000, </w:t>
      </w:r>
      <w:r w:rsidRPr="009B3268">
        <w:rPr>
          <w:i/>
          <w:lang w:val="en-US"/>
        </w:rPr>
        <w:t>Dupuy v. Canada</w:t>
      </w:r>
      <w:r w:rsidRPr="009B3268">
        <w:rPr>
          <w:iCs/>
          <w:lang w:val="en-US"/>
        </w:rPr>
        <w:t>,</w:t>
      </w:r>
      <w:r w:rsidRPr="009B3268">
        <w:rPr>
          <w:i/>
          <w:lang w:val="en-US"/>
        </w:rPr>
        <w:t xml:space="preserve"> </w:t>
      </w:r>
      <w:r w:rsidRPr="009B3268">
        <w:rPr>
          <w:lang w:val="en-US"/>
        </w:rPr>
        <w:t>decision of inadmissibility adopted</w:t>
      </w:r>
      <w:r w:rsidR="00DC0798">
        <w:rPr>
          <w:lang w:val="en-US"/>
        </w:rPr>
        <w:t xml:space="preserve"> </w:t>
      </w:r>
      <w:r w:rsidRPr="009B3268">
        <w:rPr>
          <w:lang w:val="en-US"/>
        </w:rPr>
        <w:t>on 18 March 2005, para.</w:t>
      </w:r>
      <w:proofErr w:type="gramEnd"/>
      <w:r w:rsidRPr="009B3268">
        <w:rPr>
          <w:lang w:val="en-US"/>
        </w:rPr>
        <w:t xml:space="preserve"> </w:t>
      </w:r>
      <w:r>
        <w:t>7.3.</w:t>
      </w:r>
      <w:r w:rsidRPr="00E8486E">
        <w:t xml:space="preserve"> The State party </w:t>
      </w:r>
      <w:r>
        <w:t xml:space="preserve">also </w:t>
      </w:r>
      <w:r w:rsidRPr="00E8486E">
        <w:t>refers to</w:t>
      </w:r>
      <w:r>
        <w:t xml:space="preserve"> </w:t>
      </w:r>
      <w:r w:rsidR="00463D7C">
        <w:t xml:space="preserve">Federal Court of Canada, </w:t>
      </w:r>
      <w:r>
        <w:rPr>
          <w:i/>
        </w:rPr>
        <w:t>Nd</w:t>
      </w:r>
      <w:r w:rsidR="00463D7C">
        <w:rPr>
          <w:i/>
        </w:rPr>
        <w:t>h</w:t>
      </w:r>
      <w:r>
        <w:rPr>
          <w:i/>
        </w:rPr>
        <w:t>lovu</w:t>
      </w:r>
      <w:r>
        <w:t xml:space="preserve"> </w:t>
      </w:r>
      <w:r w:rsidRPr="009B3268">
        <w:rPr>
          <w:i/>
        </w:rPr>
        <w:t>v.</w:t>
      </w:r>
      <w:r>
        <w:t xml:space="preserve"> </w:t>
      </w:r>
      <w:r>
        <w:rPr>
          <w:i/>
        </w:rPr>
        <w:t>Canada (Minister of Citizenship and Immigration)</w:t>
      </w:r>
      <w:r w:rsidR="00463D7C">
        <w:t xml:space="preserve">, </w:t>
      </w:r>
      <w:proofErr w:type="gramStart"/>
      <w:r w:rsidR="00463D7C">
        <w:t>decision</w:t>
      </w:r>
      <w:proofErr w:type="gramEnd"/>
      <w:r w:rsidR="00463D7C">
        <w:t xml:space="preserve"> on application for judicial review of 30 November 2003</w:t>
      </w:r>
      <w:r w:rsidRPr="00E8486E">
        <w:t>.</w:t>
      </w:r>
    </w:p>
  </w:footnote>
  <w:footnote w:id="15">
    <w:p w:rsidR="006E7493" w:rsidRPr="00290EBE" w:rsidRDefault="006E7493" w:rsidP="00A818CB">
      <w:pPr>
        <w:pStyle w:val="FootnoteText"/>
      </w:pPr>
      <w:r w:rsidRPr="00EF7D62">
        <w:tab/>
      </w:r>
      <w:r>
        <w:rPr>
          <w:rStyle w:val="FootnoteReference"/>
        </w:rPr>
        <w:footnoteRef/>
      </w:r>
      <w:r w:rsidRPr="00EF7D62">
        <w:tab/>
      </w:r>
      <w:r>
        <w:t xml:space="preserve">United Kingdom Home Office, </w:t>
      </w:r>
      <w:r>
        <w:rPr>
          <w:i/>
        </w:rPr>
        <w:t xml:space="preserve">Zimbabwe: </w:t>
      </w:r>
      <w:r w:rsidRPr="00C02DCA">
        <w:rPr>
          <w:i/>
          <w:color w:val="000000"/>
        </w:rPr>
        <w:t>County of Origin Information (COI) Report</w:t>
      </w:r>
      <w:r>
        <w:rPr>
          <w:color w:val="000000"/>
        </w:rPr>
        <w:t>, 25 March 2011, para. 25.07.</w:t>
      </w:r>
    </w:p>
  </w:footnote>
  <w:footnote w:id="16">
    <w:p w:rsidR="006E7493" w:rsidRPr="0043660E" w:rsidRDefault="006E7493" w:rsidP="00A818CB">
      <w:pPr>
        <w:pStyle w:val="FootnoteText"/>
      </w:pPr>
      <w:r w:rsidRPr="00EF7D62">
        <w:tab/>
      </w:r>
      <w:r>
        <w:rPr>
          <w:rStyle w:val="FootnoteReference"/>
        </w:rPr>
        <w:footnoteRef/>
      </w:r>
      <w:r w:rsidRPr="00EF7D62">
        <w:tab/>
      </w:r>
      <w:r w:rsidRPr="00EC2932">
        <w:t>See</w:t>
      </w:r>
      <w:r>
        <w:t xml:space="preserve"> </w:t>
      </w:r>
      <w:r w:rsidRPr="006B5BC7">
        <w:rPr>
          <w:i/>
        </w:rPr>
        <w:t>Dauphin</w:t>
      </w:r>
      <w:r w:rsidRPr="00E3570B">
        <w:rPr>
          <w:i/>
        </w:rPr>
        <w:t xml:space="preserve"> v. </w:t>
      </w:r>
      <w:r w:rsidRPr="006B5BC7">
        <w:rPr>
          <w:i/>
        </w:rPr>
        <w:t>Canada</w:t>
      </w:r>
      <w:r>
        <w:t>, para. 8.4.</w:t>
      </w:r>
    </w:p>
  </w:footnote>
  <w:footnote w:id="17">
    <w:p w:rsidR="006E7493" w:rsidRPr="00EC2932" w:rsidRDefault="006E7493" w:rsidP="00A818CB">
      <w:pPr>
        <w:pStyle w:val="FootnoteText"/>
      </w:pPr>
      <w:r w:rsidRPr="00EF7D62">
        <w:tab/>
      </w:r>
      <w:r>
        <w:rPr>
          <w:rStyle w:val="FootnoteReference"/>
        </w:rPr>
        <w:footnoteRef/>
      </w:r>
      <w:r w:rsidRPr="00EF7D62">
        <w:tab/>
      </w:r>
      <w:r w:rsidRPr="001B7D49">
        <w:t xml:space="preserve">The State party </w:t>
      </w:r>
      <w:r w:rsidRPr="002170D6">
        <w:t>provides a copy of</w:t>
      </w:r>
      <w:r>
        <w:t xml:space="preserve"> the </w:t>
      </w:r>
      <w:r w:rsidRPr="002170D6">
        <w:t xml:space="preserve">Durham Children’s Aid Society’s </w:t>
      </w:r>
      <w:r>
        <w:t>s</w:t>
      </w:r>
      <w:r w:rsidRPr="002170D6">
        <w:t xml:space="preserve">ervice </w:t>
      </w:r>
      <w:r>
        <w:t>c</w:t>
      </w:r>
      <w:r w:rsidRPr="002170D6">
        <w:t xml:space="preserve">ontract </w:t>
      </w:r>
      <w:r>
        <w:t xml:space="preserve">dated </w:t>
      </w:r>
      <w:r w:rsidRPr="002170D6">
        <w:t>13 June 2008</w:t>
      </w:r>
      <w:r>
        <w:t xml:space="preserve"> </w:t>
      </w:r>
      <w:r w:rsidRPr="002170D6">
        <w:t xml:space="preserve">and letter </w:t>
      </w:r>
      <w:r>
        <w:t xml:space="preserve">dated </w:t>
      </w:r>
      <w:r w:rsidRPr="002170D6">
        <w:t>27 March 2009.</w:t>
      </w:r>
    </w:p>
  </w:footnote>
  <w:footnote w:id="18">
    <w:p w:rsidR="006E7493" w:rsidRPr="00CB1DAF" w:rsidRDefault="006E7493" w:rsidP="00A818CB">
      <w:pPr>
        <w:pStyle w:val="FootnoteText"/>
      </w:pPr>
      <w:r w:rsidRPr="00EF7D62">
        <w:tab/>
      </w:r>
      <w:r>
        <w:rPr>
          <w:rStyle w:val="FootnoteReference"/>
        </w:rPr>
        <w:footnoteRef/>
      </w:r>
      <w:r w:rsidRPr="00EF7D62">
        <w:tab/>
      </w:r>
      <w:r>
        <w:t xml:space="preserve">Treasury Board of Canada Secretariat, </w:t>
      </w:r>
      <w:r w:rsidRPr="009B3268">
        <w:rPr>
          <w:i/>
        </w:rPr>
        <w:t>Immigration and Refugee Boar</w:t>
      </w:r>
      <w:r w:rsidR="00DC0798">
        <w:rPr>
          <w:i/>
        </w:rPr>
        <w:t>d</w:t>
      </w:r>
      <w:r>
        <w:rPr>
          <w:i/>
        </w:rPr>
        <w:t>:</w:t>
      </w:r>
      <w:r w:rsidRPr="009B3268">
        <w:rPr>
          <w:i/>
        </w:rPr>
        <w:t xml:space="preserve"> </w:t>
      </w:r>
      <w:r>
        <w:rPr>
          <w:i/>
        </w:rPr>
        <w:t>P</w:t>
      </w:r>
      <w:r w:rsidRPr="009B3268">
        <w:rPr>
          <w:i/>
        </w:rPr>
        <w:t xml:space="preserve">erformance </w:t>
      </w:r>
      <w:r>
        <w:rPr>
          <w:i/>
        </w:rPr>
        <w:t>R</w:t>
      </w:r>
      <w:r w:rsidRPr="009B3268">
        <w:rPr>
          <w:i/>
        </w:rPr>
        <w:t xml:space="preserve">eport for the </w:t>
      </w:r>
      <w:r>
        <w:rPr>
          <w:i/>
        </w:rPr>
        <w:t>P</w:t>
      </w:r>
      <w:r w:rsidRPr="009B3268">
        <w:rPr>
          <w:i/>
        </w:rPr>
        <w:t xml:space="preserve">eriod </w:t>
      </w:r>
      <w:r>
        <w:rPr>
          <w:i/>
        </w:rPr>
        <w:t>E</w:t>
      </w:r>
      <w:r w:rsidRPr="009B3268">
        <w:rPr>
          <w:i/>
        </w:rPr>
        <w:t>nding March 31, 2010</w:t>
      </w:r>
      <w:r w:rsidRPr="00CB1DAF">
        <w:t xml:space="preserve">, p. </w:t>
      </w:r>
      <w:r>
        <w:t xml:space="preserve">6. </w:t>
      </w:r>
    </w:p>
  </w:footnote>
  <w:footnote w:id="19">
    <w:p w:rsidR="006E7493" w:rsidRPr="00D826FF" w:rsidRDefault="006E7493" w:rsidP="005A2749">
      <w:pPr>
        <w:pStyle w:val="FootnoteText"/>
      </w:pPr>
      <w:r w:rsidRPr="00EF7D62">
        <w:tab/>
      </w:r>
      <w:r>
        <w:rPr>
          <w:rStyle w:val="FootnoteReference"/>
        </w:rPr>
        <w:footnoteRef/>
      </w:r>
      <w:r w:rsidRPr="00EF7D62">
        <w:tab/>
      </w:r>
      <w:r w:rsidRPr="00D826FF">
        <w:t>T</w:t>
      </w:r>
      <w:r>
        <w:t>he author provides a l</w:t>
      </w:r>
      <w:r w:rsidRPr="00D826FF">
        <w:t>e</w:t>
      </w:r>
      <w:r>
        <w:t>t</w:t>
      </w:r>
      <w:r w:rsidRPr="00D826FF">
        <w:t>ter issued by the Hospital for Sick Children in Toronto.</w:t>
      </w:r>
    </w:p>
  </w:footnote>
  <w:footnote w:id="20">
    <w:p w:rsidR="006E7493" w:rsidRPr="003E067F" w:rsidRDefault="006E7493" w:rsidP="005A2749">
      <w:pPr>
        <w:pStyle w:val="FootnoteText"/>
        <w:rPr>
          <w:lang w:val="en-US"/>
        </w:rPr>
      </w:pPr>
      <w:r>
        <w:tab/>
      </w:r>
      <w:r>
        <w:rPr>
          <w:rStyle w:val="FootnoteReference"/>
        </w:rPr>
        <w:footnoteRef/>
      </w:r>
      <w:r>
        <w:tab/>
      </w:r>
      <w:r w:rsidRPr="003E067F">
        <w:t>See communications No.</w:t>
      </w:r>
      <w:r w:rsidRPr="00680AC0">
        <w:t xml:space="preserve">2284/2013, </w:t>
      </w:r>
      <w:r w:rsidRPr="009B3268">
        <w:rPr>
          <w:i/>
        </w:rPr>
        <w:t>F.M.</w:t>
      </w:r>
      <w:r w:rsidRPr="000D3758">
        <w:rPr>
          <w:i/>
        </w:rPr>
        <w:t xml:space="preserve"> v. </w:t>
      </w:r>
      <w:r w:rsidRPr="009B3268">
        <w:rPr>
          <w:i/>
        </w:rPr>
        <w:t>Canada</w:t>
      </w:r>
      <w:r>
        <w:t xml:space="preserve">, Views adopted on 5 November 2015, </w:t>
      </w:r>
      <w:proofErr w:type="gramStart"/>
      <w:r>
        <w:t>para</w:t>
      </w:r>
      <w:proofErr w:type="gramEnd"/>
      <w:r>
        <w:t xml:space="preserve">. </w:t>
      </w:r>
      <w:proofErr w:type="gramStart"/>
      <w:r>
        <w:t>8.4;</w:t>
      </w:r>
      <w:r w:rsidRPr="003E067F">
        <w:t xml:space="preserve"> </w:t>
      </w:r>
      <w:r>
        <w:t xml:space="preserve">No. </w:t>
      </w:r>
      <w:r w:rsidRPr="003E067F">
        <w:t xml:space="preserve">2176/2012, </w:t>
      </w:r>
      <w:r w:rsidRPr="003E067F">
        <w:rPr>
          <w:i/>
          <w:iCs/>
        </w:rPr>
        <w:t>M.</w:t>
      </w:r>
      <w:r w:rsidRPr="00E3570B">
        <w:rPr>
          <w:i/>
          <w:iCs/>
        </w:rPr>
        <w:t xml:space="preserve"> v. </w:t>
      </w:r>
      <w:r w:rsidRPr="003E067F">
        <w:rPr>
          <w:i/>
          <w:iCs/>
        </w:rPr>
        <w:t>Belgium</w:t>
      </w:r>
      <w:r w:rsidRPr="003E067F">
        <w:t>, decision o</w:t>
      </w:r>
      <w:r>
        <w:t>f</w:t>
      </w:r>
      <w:r w:rsidRPr="003E067F">
        <w:t xml:space="preserve"> inadmissibility adopted on 30 March 2015, para.</w:t>
      </w:r>
      <w:proofErr w:type="gramEnd"/>
      <w:r w:rsidRPr="003E067F">
        <w:t xml:space="preserve"> </w:t>
      </w:r>
      <w:proofErr w:type="gramStart"/>
      <w:r w:rsidRPr="003E067F">
        <w:t xml:space="preserve">6.5; and </w:t>
      </w:r>
      <w:r>
        <w:t xml:space="preserve">No. </w:t>
      </w:r>
      <w:r w:rsidRPr="003E067F">
        <w:t xml:space="preserve">1544/2007, </w:t>
      </w:r>
      <w:r w:rsidRPr="003E067F">
        <w:rPr>
          <w:i/>
          <w:iCs/>
        </w:rPr>
        <w:t>Hamida</w:t>
      </w:r>
      <w:r w:rsidRPr="00E3570B">
        <w:rPr>
          <w:i/>
          <w:iCs/>
        </w:rPr>
        <w:t xml:space="preserve"> v. </w:t>
      </w:r>
      <w:r w:rsidRPr="003E067F">
        <w:rPr>
          <w:i/>
          <w:iCs/>
        </w:rPr>
        <w:t>Canada</w:t>
      </w:r>
      <w:r w:rsidRPr="003E067F">
        <w:t>, Views adopted on 18 March 2010, para.</w:t>
      </w:r>
      <w:proofErr w:type="gramEnd"/>
      <w:r w:rsidRPr="003E067F">
        <w:t xml:space="preserve"> 7.3.</w:t>
      </w:r>
    </w:p>
  </w:footnote>
  <w:footnote w:id="21">
    <w:p w:rsidR="006E7493" w:rsidRPr="009B3268" w:rsidRDefault="006E7493" w:rsidP="005A2749">
      <w:pPr>
        <w:pStyle w:val="FootnoteText"/>
        <w:rPr>
          <w:lang w:val="es-ES"/>
        </w:rPr>
      </w:pPr>
      <w:r w:rsidRPr="00EF7D62">
        <w:tab/>
      </w:r>
      <w:r w:rsidRPr="00C26BD8">
        <w:rPr>
          <w:rStyle w:val="FootnoteReference"/>
          <w:szCs w:val="18"/>
        </w:rPr>
        <w:footnoteRef/>
      </w:r>
      <w:r w:rsidRPr="00EF7D62">
        <w:tab/>
      </w:r>
      <w:r w:rsidRPr="00647488">
        <w:t xml:space="preserve">See </w:t>
      </w:r>
      <w:r>
        <w:t>c</w:t>
      </w:r>
      <w:r w:rsidRPr="00647488">
        <w:t>ommunication</w:t>
      </w:r>
      <w:r>
        <w:t>s</w:t>
      </w:r>
      <w:r w:rsidRPr="00647488">
        <w:t xml:space="preserve"> No. 1003/2001,</w:t>
      </w:r>
      <w:r w:rsidRPr="00295595">
        <w:rPr>
          <w:i/>
          <w:iCs/>
        </w:rPr>
        <w:t xml:space="preserve"> P.L.</w:t>
      </w:r>
      <w:r w:rsidRPr="00E3570B">
        <w:rPr>
          <w:i/>
          <w:iCs/>
        </w:rPr>
        <w:t xml:space="preserve"> v. </w:t>
      </w:r>
      <w:r w:rsidRPr="00C26BD8">
        <w:rPr>
          <w:i/>
          <w:iCs/>
        </w:rPr>
        <w:t>Germany</w:t>
      </w:r>
      <w:r w:rsidRPr="00647488">
        <w:t xml:space="preserve">, </w:t>
      </w:r>
      <w:r>
        <w:t>decision of i</w:t>
      </w:r>
      <w:r w:rsidRPr="00647488">
        <w:t xml:space="preserve">nadmissibility </w:t>
      </w:r>
      <w:r>
        <w:t>adopted on</w:t>
      </w:r>
      <w:r w:rsidRPr="00647488">
        <w:t xml:space="preserve"> 22 October 2003, para. </w:t>
      </w:r>
      <w:proofErr w:type="gramStart"/>
      <w:r w:rsidRPr="00647488">
        <w:t xml:space="preserve">6.5; </w:t>
      </w:r>
      <w:r>
        <w:t xml:space="preserve">and </w:t>
      </w:r>
      <w:r w:rsidRPr="00647488">
        <w:t xml:space="preserve">No. 433/1990, </w:t>
      </w:r>
      <w:r w:rsidRPr="00647488">
        <w:rPr>
          <w:i/>
          <w:iCs/>
        </w:rPr>
        <w:t>A.P.A.</w:t>
      </w:r>
      <w:r w:rsidRPr="00E3570B">
        <w:rPr>
          <w:i/>
          <w:iCs/>
        </w:rPr>
        <w:t xml:space="preserve"> v. </w:t>
      </w:r>
      <w:r w:rsidRPr="00C26BD8">
        <w:rPr>
          <w:i/>
          <w:iCs/>
        </w:rPr>
        <w:t>Spain</w:t>
      </w:r>
      <w:r w:rsidRPr="00647488">
        <w:t xml:space="preserve">, </w:t>
      </w:r>
      <w:r>
        <w:t>decision of i</w:t>
      </w:r>
      <w:r w:rsidRPr="00647488">
        <w:t xml:space="preserve">nadmissibility </w:t>
      </w:r>
      <w:r>
        <w:t>adopted on</w:t>
      </w:r>
      <w:r w:rsidRPr="00647488">
        <w:t xml:space="preserve"> 25 March 1994, para.</w:t>
      </w:r>
      <w:proofErr w:type="gramEnd"/>
      <w:r w:rsidRPr="00647488">
        <w:t xml:space="preserve"> </w:t>
      </w:r>
      <w:r w:rsidRPr="009B3268">
        <w:rPr>
          <w:lang w:val="es-ES"/>
        </w:rPr>
        <w:t>6.2.</w:t>
      </w:r>
    </w:p>
  </w:footnote>
  <w:footnote w:id="22">
    <w:p w:rsidR="006E7493" w:rsidRPr="005A2749" w:rsidRDefault="006E7493" w:rsidP="00B61F9B">
      <w:pPr>
        <w:pStyle w:val="FootnoteText"/>
        <w:rPr>
          <w:lang w:val="en-US"/>
        </w:rPr>
      </w:pPr>
      <w:r w:rsidRPr="009B3268">
        <w:rPr>
          <w:lang w:val="es-ES"/>
        </w:rPr>
        <w:tab/>
      </w:r>
      <w:r>
        <w:rPr>
          <w:rStyle w:val="FootnoteReference"/>
        </w:rPr>
        <w:footnoteRef/>
      </w:r>
      <w:r w:rsidRPr="00CB4616">
        <w:rPr>
          <w:lang w:val="en-US"/>
        </w:rPr>
        <w:tab/>
      </w:r>
      <w:proofErr w:type="gramStart"/>
      <w:r w:rsidRPr="00CB4616">
        <w:rPr>
          <w:lang w:val="en-US"/>
        </w:rPr>
        <w:t xml:space="preserve">See communication No. 1580/2007, </w:t>
      </w:r>
      <w:r w:rsidRPr="00CB4616">
        <w:rPr>
          <w:i/>
          <w:lang w:val="en-US"/>
        </w:rPr>
        <w:t xml:space="preserve">F.M. </w:t>
      </w:r>
      <w:r w:rsidRPr="009B3268">
        <w:rPr>
          <w:i/>
          <w:lang w:val="es-ES"/>
        </w:rPr>
        <w:t>v. Canada</w:t>
      </w:r>
      <w:r w:rsidRPr="009B3268">
        <w:rPr>
          <w:lang w:val="es-ES"/>
        </w:rPr>
        <w:t>, para.</w:t>
      </w:r>
      <w:proofErr w:type="gramEnd"/>
      <w:r w:rsidRPr="009B3268">
        <w:rPr>
          <w:lang w:val="es-ES"/>
        </w:rPr>
        <w:t xml:space="preserve"> 6.3; No. 397/1990, </w:t>
      </w:r>
      <w:r w:rsidRPr="009B3268">
        <w:rPr>
          <w:i/>
          <w:lang w:val="es-ES"/>
        </w:rPr>
        <w:t xml:space="preserve">P.S. </w:t>
      </w:r>
      <w:r w:rsidRPr="00E3570B">
        <w:rPr>
          <w:i/>
          <w:lang w:val="en-US"/>
        </w:rPr>
        <w:t xml:space="preserve">v. </w:t>
      </w:r>
      <w:r w:rsidRPr="00295595">
        <w:rPr>
          <w:i/>
          <w:lang w:val="en-US"/>
        </w:rPr>
        <w:t>Denmark</w:t>
      </w:r>
      <w:r w:rsidRPr="00C26BD8">
        <w:rPr>
          <w:lang w:val="en-US"/>
        </w:rPr>
        <w:t xml:space="preserve">, </w:t>
      </w:r>
      <w:r>
        <w:t>decision of i</w:t>
      </w:r>
      <w:r w:rsidRPr="00647488">
        <w:t xml:space="preserve">nadmissibility </w:t>
      </w:r>
      <w:r>
        <w:t>adopted on</w:t>
      </w:r>
      <w:r w:rsidRPr="00647488">
        <w:t xml:space="preserve"> </w:t>
      </w:r>
      <w:r w:rsidRPr="00C26BD8">
        <w:rPr>
          <w:lang w:val="en-US"/>
        </w:rPr>
        <w:t xml:space="preserve">22 July 1992, para. </w:t>
      </w:r>
      <w:proofErr w:type="gramStart"/>
      <w:r w:rsidRPr="00C26BD8">
        <w:rPr>
          <w:lang w:val="en-US"/>
        </w:rPr>
        <w:t>5.4; No.</w:t>
      </w:r>
      <w:r>
        <w:rPr>
          <w:lang w:val="en-US"/>
        </w:rPr>
        <w:t> </w:t>
      </w:r>
      <w:r w:rsidRPr="00C26BD8">
        <w:rPr>
          <w:lang w:val="en-US"/>
        </w:rPr>
        <w:t xml:space="preserve">420/1990, </w:t>
      </w:r>
      <w:r w:rsidRPr="00647488">
        <w:rPr>
          <w:i/>
          <w:iCs/>
          <w:lang w:val="en-US"/>
        </w:rPr>
        <w:t>G.T.</w:t>
      </w:r>
      <w:r w:rsidRPr="00E3570B">
        <w:rPr>
          <w:i/>
          <w:iCs/>
          <w:lang w:val="en-US"/>
        </w:rPr>
        <w:t xml:space="preserve"> v. </w:t>
      </w:r>
      <w:r w:rsidRPr="00C26BD8">
        <w:rPr>
          <w:i/>
          <w:iCs/>
          <w:lang w:val="en-US"/>
        </w:rPr>
        <w:t>Canada</w:t>
      </w:r>
      <w:r w:rsidRPr="00647488">
        <w:rPr>
          <w:lang w:val="en-US"/>
        </w:rPr>
        <w:t xml:space="preserve">, </w:t>
      </w:r>
      <w:r>
        <w:t>decision of i</w:t>
      </w:r>
      <w:r w:rsidRPr="00647488">
        <w:t xml:space="preserve">nadmissibility </w:t>
      </w:r>
      <w:r>
        <w:t>adopted on</w:t>
      </w:r>
      <w:r w:rsidRPr="00647488">
        <w:t xml:space="preserve"> </w:t>
      </w:r>
      <w:r w:rsidRPr="00647488">
        <w:rPr>
          <w:lang w:val="en-US"/>
        </w:rPr>
        <w:t>23 October 1992, para.</w:t>
      </w:r>
      <w:proofErr w:type="gramEnd"/>
      <w:r w:rsidRPr="00647488">
        <w:rPr>
          <w:lang w:val="en-US"/>
        </w:rPr>
        <w:t xml:space="preserve"> </w:t>
      </w:r>
      <w:proofErr w:type="gramStart"/>
      <w:r w:rsidRPr="00647488">
        <w:rPr>
          <w:lang w:val="en-US"/>
        </w:rPr>
        <w:t xml:space="preserve">6.3; </w:t>
      </w:r>
      <w:r>
        <w:rPr>
          <w:lang w:val="en-US"/>
        </w:rPr>
        <w:t xml:space="preserve">and </w:t>
      </w:r>
      <w:r w:rsidRPr="00647488">
        <w:rPr>
          <w:lang w:val="en-US"/>
        </w:rPr>
        <w:t xml:space="preserve">No. 550/1993, </w:t>
      </w:r>
      <w:r w:rsidRPr="00647488">
        <w:rPr>
          <w:i/>
          <w:iCs/>
          <w:lang w:val="en-US"/>
        </w:rPr>
        <w:t>Faurisson</w:t>
      </w:r>
      <w:r w:rsidRPr="00E3570B">
        <w:rPr>
          <w:i/>
          <w:iCs/>
          <w:lang w:val="en-US"/>
        </w:rPr>
        <w:t xml:space="preserve"> v. </w:t>
      </w:r>
      <w:r w:rsidRPr="00C26BD8">
        <w:rPr>
          <w:i/>
          <w:iCs/>
          <w:lang w:val="en-US"/>
        </w:rPr>
        <w:t>France</w:t>
      </w:r>
      <w:r w:rsidRPr="00647488">
        <w:rPr>
          <w:lang w:val="en-US"/>
        </w:rPr>
        <w:t>, Views</w:t>
      </w:r>
      <w:r>
        <w:rPr>
          <w:lang w:val="en-US"/>
        </w:rPr>
        <w:t xml:space="preserve"> adopted on 8 November 1996, para.</w:t>
      </w:r>
      <w:proofErr w:type="gramEnd"/>
      <w:r>
        <w:rPr>
          <w:lang w:val="en-US"/>
        </w:rPr>
        <w:t xml:space="preserve"> 6.1.</w:t>
      </w:r>
    </w:p>
  </w:footnote>
  <w:footnote w:id="23">
    <w:p w:rsidR="006E7493" w:rsidRDefault="006E7493" w:rsidP="005A2749">
      <w:pPr>
        <w:pStyle w:val="FootnoteText"/>
      </w:pPr>
      <w:r>
        <w:tab/>
      </w:r>
      <w:r w:rsidRPr="00C64D21">
        <w:rPr>
          <w:rStyle w:val="FootnoteReference"/>
          <w:szCs w:val="18"/>
        </w:rPr>
        <w:footnoteRef/>
      </w:r>
      <w:r>
        <w:tab/>
        <w:t>See c</w:t>
      </w:r>
      <w:r w:rsidRPr="005A2749">
        <w:t>ommunications</w:t>
      </w:r>
      <w:r>
        <w:t xml:space="preserve"> </w:t>
      </w:r>
      <w:r w:rsidRPr="00260272">
        <w:t>N</w:t>
      </w:r>
      <w:r>
        <w:t xml:space="preserve">o. 2007/2010, </w:t>
      </w:r>
      <w:r w:rsidRPr="00493387">
        <w:rPr>
          <w:i/>
        </w:rPr>
        <w:t>X</w:t>
      </w:r>
      <w:r>
        <w:rPr>
          <w:i/>
        </w:rPr>
        <w:t>.</w:t>
      </w:r>
      <w:r w:rsidRPr="00E3570B">
        <w:rPr>
          <w:i/>
        </w:rPr>
        <w:t xml:space="preserve"> v. </w:t>
      </w:r>
      <w:r>
        <w:rPr>
          <w:i/>
        </w:rPr>
        <w:t>Denmark</w:t>
      </w:r>
      <w:r>
        <w:t xml:space="preserve">, Views adopted on 26 March 2014, </w:t>
      </w:r>
      <w:proofErr w:type="gramStart"/>
      <w:r>
        <w:t>para</w:t>
      </w:r>
      <w:proofErr w:type="gramEnd"/>
      <w:r>
        <w:t xml:space="preserve">. 9.2 </w:t>
      </w:r>
      <w:proofErr w:type="gramStart"/>
      <w:r>
        <w:t>and</w:t>
      </w:r>
      <w:proofErr w:type="gramEnd"/>
      <w:r>
        <w:t xml:space="preserve"> No. 692/1996, </w:t>
      </w:r>
      <w:r>
        <w:rPr>
          <w:i/>
          <w:iCs/>
        </w:rPr>
        <w:t>A.R.J.</w:t>
      </w:r>
      <w:r w:rsidRPr="00E3570B">
        <w:rPr>
          <w:i/>
          <w:iCs/>
        </w:rPr>
        <w:t xml:space="preserve"> v. </w:t>
      </w:r>
      <w:r>
        <w:rPr>
          <w:i/>
          <w:iCs/>
        </w:rPr>
        <w:t xml:space="preserve">Australia, </w:t>
      </w:r>
      <w:r>
        <w:t xml:space="preserve">Views adopted on 28 July 1997, para. 6.6; and Committee against Torture, communications No. 282/2005, </w:t>
      </w:r>
      <w:r>
        <w:rPr>
          <w:i/>
        </w:rPr>
        <w:t>S.P.A.</w:t>
      </w:r>
      <w:r w:rsidRPr="00E3570B">
        <w:rPr>
          <w:i/>
        </w:rPr>
        <w:t xml:space="preserve"> v. </w:t>
      </w:r>
      <w:r>
        <w:rPr>
          <w:i/>
        </w:rPr>
        <w:t>Canada</w:t>
      </w:r>
      <w:r>
        <w:t xml:space="preserve">, decision adopted on 7 November 2006; No. 333/2007, </w:t>
      </w:r>
      <w:r>
        <w:rPr>
          <w:i/>
        </w:rPr>
        <w:t>T.I.</w:t>
      </w:r>
      <w:r w:rsidRPr="00E3570B">
        <w:rPr>
          <w:i/>
        </w:rPr>
        <w:t xml:space="preserve"> v. </w:t>
      </w:r>
      <w:r>
        <w:rPr>
          <w:i/>
        </w:rPr>
        <w:t>Canada</w:t>
      </w:r>
      <w:r>
        <w:t xml:space="preserve">, decision adopted on 15 November 2010; and No. 344/2008, </w:t>
      </w:r>
      <w:r>
        <w:rPr>
          <w:i/>
        </w:rPr>
        <w:t xml:space="preserve">A.M.A. </w:t>
      </w:r>
      <w:r w:rsidRPr="009B3268">
        <w:rPr>
          <w:i/>
        </w:rPr>
        <w:t>v.</w:t>
      </w:r>
      <w:r>
        <w:rPr>
          <w:i/>
        </w:rPr>
        <w:t xml:space="preserve"> Switzerland</w:t>
      </w:r>
      <w:r>
        <w:t>, decision adopted on 12 November 2010.</w:t>
      </w:r>
    </w:p>
  </w:footnote>
  <w:footnote w:id="24">
    <w:p w:rsidR="006E7493" w:rsidRDefault="006E7493" w:rsidP="005A2749">
      <w:pPr>
        <w:pStyle w:val="FootnoteText"/>
      </w:pPr>
      <w:r>
        <w:tab/>
      </w:r>
      <w:r w:rsidRPr="00C64D21">
        <w:rPr>
          <w:rStyle w:val="FootnoteReference"/>
          <w:szCs w:val="18"/>
        </w:rPr>
        <w:footnoteRef/>
      </w:r>
      <w:r>
        <w:tab/>
        <w:t>See</w:t>
      </w:r>
      <w:r>
        <w:rPr>
          <w:i/>
        </w:rPr>
        <w:t xml:space="preserve"> </w:t>
      </w:r>
      <w:r w:rsidRPr="00493387">
        <w:rPr>
          <w:i/>
        </w:rPr>
        <w:t>X</w:t>
      </w:r>
      <w:r>
        <w:rPr>
          <w:i/>
        </w:rPr>
        <w:t>.</w:t>
      </w:r>
      <w:r w:rsidRPr="00E3570B">
        <w:rPr>
          <w:i/>
        </w:rPr>
        <w:t xml:space="preserve"> v. </w:t>
      </w:r>
      <w:r w:rsidRPr="00493387">
        <w:rPr>
          <w:i/>
        </w:rPr>
        <w:t>Denmark</w:t>
      </w:r>
      <w:r>
        <w:t xml:space="preserve">, para. 9.2 </w:t>
      </w:r>
      <w:proofErr w:type="gramStart"/>
      <w:r w:rsidRPr="00260272">
        <w:t>and</w:t>
      </w:r>
      <w:proofErr w:type="gramEnd"/>
      <w:r>
        <w:rPr>
          <w:i/>
        </w:rPr>
        <w:t xml:space="preserve"> X.</w:t>
      </w:r>
      <w:r w:rsidRPr="00E3570B">
        <w:rPr>
          <w:i/>
        </w:rPr>
        <w:t xml:space="preserve"> v. </w:t>
      </w:r>
      <w:r>
        <w:rPr>
          <w:i/>
        </w:rPr>
        <w:t>Sweden</w:t>
      </w:r>
      <w:r>
        <w:t xml:space="preserve">, para. 5.18. </w:t>
      </w:r>
    </w:p>
  </w:footnote>
  <w:footnote w:id="25">
    <w:p w:rsidR="006E7493" w:rsidRDefault="006E7493" w:rsidP="009D2FF3">
      <w:pPr>
        <w:pStyle w:val="FootnoteText"/>
        <w:rPr>
          <w:rFonts w:eastAsiaTheme="minorEastAsia"/>
          <w:szCs w:val="18"/>
        </w:rPr>
      </w:pPr>
      <w:r>
        <w:rPr>
          <w:szCs w:val="18"/>
        </w:rPr>
        <w:tab/>
      </w:r>
      <w:r>
        <w:rPr>
          <w:rStyle w:val="FootnoteReference"/>
          <w:szCs w:val="18"/>
        </w:rPr>
        <w:footnoteRef/>
      </w:r>
      <w:r>
        <w:rPr>
          <w:szCs w:val="18"/>
        </w:rPr>
        <w:tab/>
      </w:r>
      <w:proofErr w:type="gramStart"/>
      <w:r>
        <w:rPr>
          <w:szCs w:val="18"/>
        </w:rPr>
        <w:t>See,</w:t>
      </w:r>
      <w:proofErr w:type="gramEnd"/>
      <w:r>
        <w:rPr>
          <w:szCs w:val="18"/>
        </w:rPr>
        <w:t xml:space="preserve"> </w:t>
      </w:r>
      <w:r>
        <w:rPr>
          <w:lang w:val="en-US"/>
        </w:rPr>
        <w:t>inter</w:t>
      </w:r>
      <w:r>
        <w:rPr>
          <w:szCs w:val="18"/>
        </w:rPr>
        <w:t xml:space="preserve"> alia, communications No. 2474/2014, </w:t>
      </w:r>
      <w:r>
        <w:rPr>
          <w:i/>
          <w:szCs w:val="18"/>
        </w:rPr>
        <w:t>X. v</w:t>
      </w:r>
      <w:r w:rsidRPr="001D5F81">
        <w:rPr>
          <w:i/>
          <w:szCs w:val="18"/>
        </w:rPr>
        <w:t>. Norway</w:t>
      </w:r>
      <w:r>
        <w:rPr>
          <w:szCs w:val="18"/>
        </w:rPr>
        <w:t xml:space="preserve">, </w:t>
      </w:r>
      <w:r w:rsidRPr="001D5F81">
        <w:rPr>
          <w:szCs w:val="18"/>
        </w:rPr>
        <w:t>Views</w:t>
      </w:r>
      <w:r>
        <w:rPr>
          <w:szCs w:val="18"/>
        </w:rPr>
        <w:t xml:space="preserve"> adopted on 5 November 2015, para. 7.3 </w:t>
      </w:r>
      <w:proofErr w:type="gramStart"/>
      <w:r>
        <w:rPr>
          <w:szCs w:val="18"/>
        </w:rPr>
        <w:t>and</w:t>
      </w:r>
      <w:proofErr w:type="gramEnd"/>
      <w:r>
        <w:rPr>
          <w:szCs w:val="18"/>
        </w:rPr>
        <w:t xml:space="preserve"> No. 2366/2014, Views adopted on 5 November 2015, para. 9.3. </w:t>
      </w:r>
    </w:p>
  </w:footnote>
  <w:footnote w:id="26">
    <w:p w:rsidR="006E7493" w:rsidRDefault="006E7493" w:rsidP="009D2FF3">
      <w:pPr>
        <w:pStyle w:val="FootnoteText"/>
        <w:rPr>
          <w:szCs w:val="18"/>
        </w:rPr>
      </w:pPr>
      <w:r>
        <w:rPr>
          <w:szCs w:val="18"/>
        </w:rPr>
        <w:tab/>
      </w:r>
      <w:r>
        <w:rPr>
          <w:rStyle w:val="FootnoteReference"/>
          <w:szCs w:val="18"/>
        </w:rPr>
        <w:footnoteRef/>
      </w:r>
      <w:r>
        <w:rPr>
          <w:szCs w:val="18"/>
        </w:rPr>
        <w:tab/>
      </w:r>
      <w:proofErr w:type="gramStart"/>
      <w:r>
        <w:rPr>
          <w:szCs w:val="18"/>
        </w:rPr>
        <w:t>See,</w:t>
      </w:r>
      <w:proofErr w:type="gramEnd"/>
      <w:r>
        <w:rPr>
          <w:szCs w:val="18"/>
        </w:rPr>
        <w:t xml:space="preserve"> </w:t>
      </w:r>
      <w:r>
        <w:rPr>
          <w:lang w:val="en-US"/>
        </w:rPr>
        <w:t>inter</w:t>
      </w:r>
      <w:r>
        <w:rPr>
          <w:szCs w:val="18"/>
        </w:rPr>
        <w:t xml:space="preserve"> alia, communication No. 2393/2014, </w:t>
      </w:r>
      <w:r>
        <w:rPr>
          <w:i/>
          <w:szCs w:val="18"/>
        </w:rPr>
        <w:t>K.</w:t>
      </w:r>
      <w:r w:rsidRPr="00E3570B">
        <w:rPr>
          <w:i/>
          <w:szCs w:val="18"/>
        </w:rPr>
        <w:t xml:space="preserve"> v. </w:t>
      </w:r>
      <w:r>
        <w:rPr>
          <w:i/>
          <w:szCs w:val="18"/>
        </w:rPr>
        <w:t>Denmark</w:t>
      </w:r>
      <w:r>
        <w:rPr>
          <w:szCs w:val="18"/>
        </w:rPr>
        <w:t>, Views adopted on 16 July 2015, para. 7.4.</w:t>
      </w:r>
    </w:p>
  </w:footnote>
  <w:footnote w:id="27">
    <w:p w:rsidR="006E7493" w:rsidRPr="00647488" w:rsidRDefault="006E7493" w:rsidP="005A2749">
      <w:pPr>
        <w:pStyle w:val="FootnoteText"/>
        <w:rPr>
          <w:b/>
          <w:bCs/>
        </w:rPr>
      </w:pPr>
      <w:r w:rsidRPr="00EF7D62">
        <w:tab/>
      </w:r>
      <w:r w:rsidRPr="00295595">
        <w:rPr>
          <w:rStyle w:val="FootnoteReference"/>
          <w:szCs w:val="18"/>
        </w:rPr>
        <w:footnoteRef/>
      </w:r>
      <w:r w:rsidRPr="00EF7D62">
        <w:tab/>
      </w:r>
      <w:r>
        <w:t>See</w:t>
      </w:r>
      <w:r w:rsidRPr="00295595">
        <w:t xml:space="preserve"> communications </w:t>
      </w:r>
      <w:r w:rsidRPr="006B237D">
        <w:t>No.</w:t>
      </w:r>
      <w:r w:rsidRPr="00237FCA">
        <w:t xml:space="preserve">1959/2010, </w:t>
      </w:r>
      <w:r w:rsidRPr="009B3268">
        <w:rPr>
          <w:i/>
        </w:rPr>
        <w:t>Warsame</w:t>
      </w:r>
      <w:r w:rsidRPr="000D3758">
        <w:rPr>
          <w:i/>
        </w:rPr>
        <w:t xml:space="preserve"> v. </w:t>
      </w:r>
      <w:r w:rsidRPr="009B3268">
        <w:rPr>
          <w:i/>
        </w:rPr>
        <w:t>Canada</w:t>
      </w:r>
      <w:r>
        <w:t xml:space="preserve">, Views adopted on 21 July 2011, </w:t>
      </w:r>
      <w:proofErr w:type="gramStart"/>
      <w:r>
        <w:t>para</w:t>
      </w:r>
      <w:proofErr w:type="gramEnd"/>
      <w:r>
        <w:t xml:space="preserve">. </w:t>
      </w:r>
      <w:proofErr w:type="gramStart"/>
      <w:r>
        <w:t xml:space="preserve">8.7; No. </w:t>
      </w:r>
      <w:r w:rsidRPr="00295595">
        <w:t xml:space="preserve">930/2000, </w:t>
      </w:r>
      <w:r w:rsidRPr="00295595">
        <w:rPr>
          <w:i/>
          <w:iCs/>
        </w:rPr>
        <w:t>Winata</w:t>
      </w:r>
      <w:r w:rsidRPr="00E3570B">
        <w:rPr>
          <w:i/>
          <w:iCs/>
        </w:rPr>
        <w:t xml:space="preserve"> v. </w:t>
      </w:r>
      <w:r w:rsidRPr="00C26BD8">
        <w:rPr>
          <w:i/>
          <w:iCs/>
        </w:rPr>
        <w:t>Australia</w:t>
      </w:r>
      <w:r w:rsidRPr="00647488">
        <w:t>, Views adopted on 2</w:t>
      </w:r>
      <w:r>
        <w:t>6 July 2001, para.</w:t>
      </w:r>
      <w:proofErr w:type="gramEnd"/>
      <w:r>
        <w:t xml:space="preserve"> </w:t>
      </w:r>
      <w:proofErr w:type="gramStart"/>
      <w:r>
        <w:t xml:space="preserve">7.1; No. </w:t>
      </w:r>
      <w:r w:rsidRPr="00647488">
        <w:t xml:space="preserve">1011/2001, </w:t>
      </w:r>
      <w:r w:rsidRPr="00647488">
        <w:rPr>
          <w:i/>
          <w:iCs/>
        </w:rPr>
        <w:t>Madafferi</w:t>
      </w:r>
      <w:r w:rsidRPr="00E3570B">
        <w:rPr>
          <w:i/>
          <w:iCs/>
        </w:rPr>
        <w:t xml:space="preserve"> v. </w:t>
      </w:r>
      <w:r w:rsidRPr="00C26BD8">
        <w:rPr>
          <w:i/>
          <w:iCs/>
        </w:rPr>
        <w:t>Australia</w:t>
      </w:r>
      <w:r w:rsidRPr="00647488">
        <w:t>, Views adopted on 26 Ju</w:t>
      </w:r>
      <w:r>
        <w:t>ly 2004, para.</w:t>
      </w:r>
      <w:proofErr w:type="gramEnd"/>
      <w:r>
        <w:t xml:space="preserve"> </w:t>
      </w:r>
      <w:proofErr w:type="gramStart"/>
      <w:r>
        <w:t xml:space="preserve">9.7; and No. </w:t>
      </w:r>
      <w:r w:rsidRPr="00647488">
        <w:t xml:space="preserve">1222/2003, </w:t>
      </w:r>
      <w:r w:rsidRPr="00647488">
        <w:rPr>
          <w:i/>
          <w:iCs/>
        </w:rPr>
        <w:t>Byahuranga</w:t>
      </w:r>
      <w:r w:rsidRPr="00E3570B">
        <w:rPr>
          <w:i/>
          <w:iCs/>
        </w:rPr>
        <w:t xml:space="preserve"> v. </w:t>
      </w:r>
      <w:r w:rsidRPr="00C26BD8">
        <w:rPr>
          <w:i/>
          <w:iCs/>
        </w:rPr>
        <w:t>Denmark</w:t>
      </w:r>
      <w:r w:rsidRPr="00647488">
        <w:t>, Views adopted on 1 No</w:t>
      </w:r>
      <w:r>
        <w:t>vember 2004, para.</w:t>
      </w:r>
      <w:proofErr w:type="gramEnd"/>
      <w:r>
        <w:t xml:space="preserve"> </w:t>
      </w:r>
      <w:proofErr w:type="gramStart"/>
      <w:r>
        <w:t>11.5;</w:t>
      </w:r>
      <w:r w:rsidRPr="00647488">
        <w:t xml:space="preserve"> </w:t>
      </w:r>
      <w:r w:rsidRPr="00237FCA">
        <w:t xml:space="preserve">and </w:t>
      </w:r>
      <w:r w:rsidRPr="00647488">
        <w:rPr>
          <w:i/>
          <w:iCs/>
        </w:rPr>
        <w:t>Dauphin</w:t>
      </w:r>
      <w:r w:rsidRPr="00E3570B">
        <w:rPr>
          <w:i/>
          <w:iCs/>
        </w:rPr>
        <w:t xml:space="preserve"> v. </w:t>
      </w:r>
      <w:r w:rsidRPr="00C26BD8">
        <w:rPr>
          <w:i/>
          <w:iCs/>
        </w:rPr>
        <w:t>Canada</w:t>
      </w:r>
      <w:r w:rsidRPr="00647488">
        <w:t>, para.</w:t>
      </w:r>
      <w:proofErr w:type="gramEnd"/>
      <w:r w:rsidRPr="00647488">
        <w:t xml:space="preserve"> 8.1.</w:t>
      </w:r>
    </w:p>
  </w:footnote>
  <w:footnote w:id="28">
    <w:p w:rsidR="006E7493" w:rsidRPr="00647488" w:rsidRDefault="006E7493" w:rsidP="005A2749">
      <w:pPr>
        <w:pStyle w:val="FootnoteText"/>
      </w:pPr>
      <w:r w:rsidRPr="00EF7D62">
        <w:tab/>
      </w:r>
      <w:r w:rsidRPr="00295595">
        <w:rPr>
          <w:rStyle w:val="FootnoteReference"/>
          <w:szCs w:val="18"/>
        </w:rPr>
        <w:footnoteRef/>
      </w:r>
      <w:r w:rsidRPr="00EF7D62">
        <w:tab/>
      </w:r>
      <w:r w:rsidRPr="00295595">
        <w:t xml:space="preserve">See communication No. 558/1993, </w:t>
      </w:r>
      <w:r w:rsidRPr="00295595">
        <w:rPr>
          <w:i/>
          <w:iCs/>
        </w:rPr>
        <w:t>Canepa</w:t>
      </w:r>
      <w:r w:rsidRPr="00E3570B">
        <w:rPr>
          <w:i/>
        </w:rPr>
        <w:t xml:space="preserve"> v. </w:t>
      </w:r>
      <w:r w:rsidRPr="00C26BD8">
        <w:rPr>
          <w:i/>
          <w:iCs/>
        </w:rPr>
        <w:t>Canada</w:t>
      </w:r>
      <w:r w:rsidRPr="00647488">
        <w:t xml:space="preserve">, Views </w:t>
      </w:r>
      <w:r>
        <w:t>adopted on</w:t>
      </w:r>
      <w:r w:rsidRPr="00647488">
        <w:t xml:space="preserve"> 3 April 1997, </w:t>
      </w:r>
      <w:proofErr w:type="gramStart"/>
      <w:r w:rsidRPr="00647488">
        <w:t>para</w:t>
      </w:r>
      <w:proofErr w:type="gramEnd"/>
      <w:r w:rsidRPr="00647488">
        <w:t>.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3" w:rsidRPr="006A5FDB" w:rsidRDefault="006E7493">
    <w:pPr>
      <w:pStyle w:val="Header"/>
    </w:pPr>
    <w:r w:rsidRPr="006A5FDB">
      <w:t>CCPR/C</w:t>
    </w:r>
    <w:r>
      <w:t>/</w:t>
    </w:r>
    <w:r w:rsidRPr="006A5FDB">
      <w:t>11</w:t>
    </w:r>
    <w:r>
      <w:t>6</w:t>
    </w:r>
    <w:r w:rsidRPr="006A5FDB">
      <w:t>/D/2</w:t>
    </w:r>
    <w:r>
      <w:t>060/2011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93" w:rsidRPr="00E0440B" w:rsidRDefault="006E7493" w:rsidP="001F493D">
    <w:pPr>
      <w:pStyle w:val="Header"/>
      <w:jc w:val="right"/>
    </w:pPr>
    <w:r>
      <w:t>CCPR/C/116/D/2060/2011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89778C"/>
    <w:multiLevelType w:val="hybridMultilevel"/>
    <w:tmpl w:val="9AD8E84A"/>
    <w:lvl w:ilvl="0" w:tplc="D4EE5904">
      <w:start w:val="1"/>
      <w:numFmt w:val="decimal"/>
      <w:lvlText w:val="%1."/>
      <w:lvlJc w:val="left"/>
      <w:pPr>
        <w:tabs>
          <w:tab w:val="num" w:pos="1080"/>
        </w:tabs>
        <w:ind w:left="1080" w:hanging="720"/>
      </w:pPr>
      <w:rPr>
        <w:rFonts w:hint="default"/>
        <w:b w:val="0"/>
        <w:i w:val="0"/>
        <w:color w:val="00000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1FD51BB"/>
    <w:multiLevelType w:val="multilevel"/>
    <w:tmpl w:val="748EE48A"/>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nsid w:val="7582558C"/>
    <w:multiLevelType w:val="hybridMultilevel"/>
    <w:tmpl w:val="376C72CE"/>
    <w:lvl w:ilvl="0" w:tplc="5C6CF55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073AD"/>
    <w:rsid w:val="000119F3"/>
    <w:rsid w:val="00016E5A"/>
    <w:rsid w:val="0002344B"/>
    <w:rsid w:val="000277BC"/>
    <w:rsid w:val="00032B86"/>
    <w:rsid w:val="00041B78"/>
    <w:rsid w:val="00042C27"/>
    <w:rsid w:val="00057C0F"/>
    <w:rsid w:val="00061AAF"/>
    <w:rsid w:val="00072BF4"/>
    <w:rsid w:val="00090611"/>
    <w:rsid w:val="00094BCC"/>
    <w:rsid w:val="00097A47"/>
    <w:rsid w:val="000A0241"/>
    <w:rsid w:val="000A0657"/>
    <w:rsid w:val="000B5183"/>
    <w:rsid w:val="000C4C89"/>
    <w:rsid w:val="000C5EDE"/>
    <w:rsid w:val="000C5FD0"/>
    <w:rsid w:val="000D0EC0"/>
    <w:rsid w:val="000D3758"/>
    <w:rsid w:val="000E0667"/>
    <w:rsid w:val="000E32C5"/>
    <w:rsid w:val="000F174C"/>
    <w:rsid w:val="00101DD7"/>
    <w:rsid w:val="00103C27"/>
    <w:rsid w:val="0011312C"/>
    <w:rsid w:val="0011353C"/>
    <w:rsid w:val="00115695"/>
    <w:rsid w:val="00121DFA"/>
    <w:rsid w:val="001410A2"/>
    <w:rsid w:val="00141B97"/>
    <w:rsid w:val="00154F59"/>
    <w:rsid w:val="00155939"/>
    <w:rsid w:val="00160DD7"/>
    <w:rsid w:val="00163B8E"/>
    <w:rsid w:val="001701C2"/>
    <w:rsid w:val="0017252F"/>
    <w:rsid w:val="0017704B"/>
    <w:rsid w:val="0017747E"/>
    <w:rsid w:val="00177CF9"/>
    <w:rsid w:val="00194854"/>
    <w:rsid w:val="0019740D"/>
    <w:rsid w:val="001975A6"/>
    <w:rsid w:val="00197752"/>
    <w:rsid w:val="001A21BE"/>
    <w:rsid w:val="001A2203"/>
    <w:rsid w:val="001A2E14"/>
    <w:rsid w:val="001A4097"/>
    <w:rsid w:val="001A733B"/>
    <w:rsid w:val="001B13ED"/>
    <w:rsid w:val="001B547B"/>
    <w:rsid w:val="001B6BEA"/>
    <w:rsid w:val="001B7D49"/>
    <w:rsid w:val="001C13D0"/>
    <w:rsid w:val="001C7883"/>
    <w:rsid w:val="001D365B"/>
    <w:rsid w:val="001D400E"/>
    <w:rsid w:val="001D5F81"/>
    <w:rsid w:val="001E6703"/>
    <w:rsid w:val="001F493D"/>
    <w:rsid w:val="00210466"/>
    <w:rsid w:val="00211098"/>
    <w:rsid w:val="0021193C"/>
    <w:rsid w:val="002170D6"/>
    <w:rsid w:val="002272B4"/>
    <w:rsid w:val="0022782E"/>
    <w:rsid w:val="00237556"/>
    <w:rsid w:val="00237FCA"/>
    <w:rsid w:val="00241613"/>
    <w:rsid w:val="002443D3"/>
    <w:rsid w:val="00244EAA"/>
    <w:rsid w:val="00245EB4"/>
    <w:rsid w:val="0024619F"/>
    <w:rsid w:val="00247B1F"/>
    <w:rsid w:val="002506EE"/>
    <w:rsid w:val="00253DDF"/>
    <w:rsid w:val="002611ED"/>
    <w:rsid w:val="00263BD1"/>
    <w:rsid w:val="002650A9"/>
    <w:rsid w:val="00265B11"/>
    <w:rsid w:val="00271A84"/>
    <w:rsid w:val="00281ED0"/>
    <w:rsid w:val="0028368E"/>
    <w:rsid w:val="00285678"/>
    <w:rsid w:val="00290EBE"/>
    <w:rsid w:val="00296939"/>
    <w:rsid w:val="00296B77"/>
    <w:rsid w:val="0029791F"/>
    <w:rsid w:val="002A5E4E"/>
    <w:rsid w:val="002B02E4"/>
    <w:rsid w:val="002C2792"/>
    <w:rsid w:val="002C6175"/>
    <w:rsid w:val="002C6687"/>
    <w:rsid w:val="002D0870"/>
    <w:rsid w:val="002D6E83"/>
    <w:rsid w:val="002D6FD3"/>
    <w:rsid w:val="002E18F1"/>
    <w:rsid w:val="002F21A6"/>
    <w:rsid w:val="002F25CA"/>
    <w:rsid w:val="00307918"/>
    <w:rsid w:val="00316B4B"/>
    <w:rsid w:val="00321847"/>
    <w:rsid w:val="00322A22"/>
    <w:rsid w:val="00325C4A"/>
    <w:rsid w:val="00325D86"/>
    <w:rsid w:val="00327CAB"/>
    <w:rsid w:val="00334D9B"/>
    <w:rsid w:val="00334EC3"/>
    <w:rsid w:val="00335AB1"/>
    <w:rsid w:val="00336D80"/>
    <w:rsid w:val="003376A3"/>
    <w:rsid w:val="00344789"/>
    <w:rsid w:val="00356018"/>
    <w:rsid w:val="0036359E"/>
    <w:rsid w:val="00371080"/>
    <w:rsid w:val="003756F2"/>
    <w:rsid w:val="0038292A"/>
    <w:rsid w:val="00384392"/>
    <w:rsid w:val="00384EFB"/>
    <w:rsid w:val="00385215"/>
    <w:rsid w:val="00386499"/>
    <w:rsid w:val="003964CB"/>
    <w:rsid w:val="003A437B"/>
    <w:rsid w:val="003A5F06"/>
    <w:rsid w:val="003C4A5D"/>
    <w:rsid w:val="003C6D8C"/>
    <w:rsid w:val="003C705F"/>
    <w:rsid w:val="003D3F3C"/>
    <w:rsid w:val="003D527E"/>
    <w:rsid w:val="003E097A"/>
    <w:rsid w:val="003E5BD0"/>
    <w:rsid w:val="003F327E"/>
    <w:rsid w:val="003F5865"/>
    <w:rsid w:val="00406032"/>
    <w:rsid w:val="004173E8"/>
    <w:rsid w:val="00420C20"/>
    <w:rsid w:val="00427A80"/>
    <w:rsid w:val="004324D3"/>
    <w:rsid w:val="00432803"/>
    <w:rsid w:val="00444461"/>
    <w:rsid w:val="00445370"/>
    <w:rsid w:val="004549CE"/>
    <w:rsid w:val="004612BE"/>
    <w:rsid w:val="00463D7C"/>
    <w:rsid w:val="00470203"/>
    <w:rsid w:val="0047076A"/>
    <w:rsid w:val="00473A5A"/>
    <w:rsid w:val="00474D95"/>
    <w:rsid w:val="00485D06"/>
    <w:rsid w:val="00486044"/>
    <w:rsid w:val="0048635A"/>
    <w:rsid w:val="0049233A"/>
    <w:rsid w:val="00492F60"/>
    <w:rsid w:val="00493EE4"/>
    <w:rsid w:val="00497B0F"/>
    <w:rsid w:val="004A2AD5"/>
    <w:rsid w:val="004A3B95"/>
    <w:rsid w:val="004A4B6D"/>
    <w:rsid w:val="004B0ED2"/>
    <w:rsid w:val="004B5064"/>
    <w:rsid w:val="004C54FF"/>
    <w:rsid w:val="004D23DB"/>
    <w:rsid w:val="004D7CAF"/>
    <w:rsid w:val="004E4AF2"/>
    <w:rsid w:val="004E52E1"/>
    <w:rsid w:val="004F0528"/>
    <w:rsid w:val="004F2D43"/>
    <w:rsid w:val="004F4F1E"/>
    <w:rsid w:val="00500EC2"/>
    <w:rsid w:val="00502F93"/>
    <w:rsid w:val="00504737"/>
    <w:rsid w:val="005050ED"/>
    <w:rsid w:val="0050717A"/>
    <w:rsid w:val="00511C70"/>
    <w:rsid w:val="00516E43"/>
    <w:rsid w:val="00523295"/>
    <w:rsid w:val="00527FC3"/>
    <w:rsid w:val="005303CC"/>
    <w:rsid w:val="005318AC"/>
    <w:rsid w:val="005327FE"/>
    <w:rsid w:val="00532B5C"/>
    <w:rsid w:val="00535A2B"/>
    <w:rsid w:val="00536EEA"/>
    <w:rsid w:val="00540AEB"/>
    <w:rsid w:val="00540B05"/>
    <w:rsid w:val="005442FE"/>
    <w:rsid w:val="00561DB8"/>
    <w:rsid w:val="00566E43"/>
    <w:rsid w:val="00566F0C"/>
    <w:rsid w:val="00574276"/>
    <w:rsid w:val="00575888"/>
    <w:rsid w:val="00576B12"/>
    <w:rsid w:val="00576D1C"/>
    <w:rsid w:val="00581F32"/>
    <w:rsid w:val="00582B7B"/>
    <w:rsid w:val="005846E2"/>
    <w:rsid w:val="0059227B"/>
    <w:rsid w:val="0059492B"/>
    <w:rsid w:val="005A082A"/>
    <w:rsid w:val="005A2749"/>
    <w:rsid w:val="005A5D22"/>
    <w:rsid w:val="005B6CED"/>
    <w:rsid w:val="005C1329"/>
    <w:rsid w:val="005C234B"/>
    <w:rsid w:val="005C60F0"/>
    <w:rsid w:val="005D66C9"/>
    <w:rsid w:val="005D6912"/>
    <w:rsid w:val="005E1239"/>
    <w:rsid w:val="005E51BC"/>
    <w:rsid w:val="005E798E"/>
    <w:rsid w:val="005F0771"/>
    <w:rsid w:val="005F15B2"/>
    <w:rsid w:val="005F48C8"/>
    <w:rsid w:val="005F7213"/>
    <w:rsid w:val="00603B29"/>
    <w:rsid w:val="00606180"/>
    <w:rsid w:val="0061093F"/>
    <w:rsid w:val="00610BC1"/>
    <w:rsid w:val="00612849"/>
    <w:rsid w:val="006139B1"/>
    <w:rsid w:val="00613E5B"/>
    <w:rsid w:val="00616238"/>
    <w:rsid w:val="00617BC6"/>
    <w:rsid w:val="006233F4"/>
    <w:rsid w:val="00624D86"/>
    <w:rsid w:val="0063295C"/>
    <w:rsid w:val="0064096F"/>
    <w:rsid w:val="00642167"/>
    <w:rsid w:val="00647D5F"/>
    <w:rsid w:val="00652231"/>
    <w:rsid w:val="00671BCD"/>
    <w:rsid w:val="00672CFD"/>
    <w:rsid w:val="006759D9"/>
    <w:rsid w:val="00680AC0"/>
    <w:rsid w:val="00690E5A"/>
    <w:rsid w:val="0069594F"/>
    <w:rsid w:val="006A0817"/>
    <w:rsid w:val="006A13F4"/>
    <w:rsid w:val="006A2126"/>
    <w:rsid w:val="006A444A"/>
    <w:rsid w:val="006B237D"/>
    <w:rsid w:val="006B56DE"/>
    <w:rsid w:val="006B7856"/>
    <w:rsid w:val="006C6BBB"/>
    <w:rsid w:val="006C73BC"/>
    <w:rsid w:val="006D1BDC"/>
    <w:rsid w:val="006E5BD2"/>
    <w:rsid w:val="006E7493"/>
    <w:rsid w:val="006F13F3"/>
    <w:rsid w:val="006F700A"/>
    <w:rsid w:val="006F7F46"/>
    <w:rsid w:val="0070654F"/>
    <w:rsid w:val="00706D31"/>
    <w:rsid w:val="007208B8"/>
    <w:rsid w:val="007271FB"/>
    <w:rsid w:val="00727BA6"/>
    <w:rsid w:val="00740C89"/>
    <w:rsid w:val="00742691"/>
    <w:rsid w:val="00743786"/>
    <w:rsid w:val="007512B3"/>
    <w:rsid w:val="00752E58"/>
    <w:rsid w:val="0075400B"/>
    <w:rsid w:val="0076355B"/>
    <w:rsid w:val="00772524"/>
    <w:rsid w:val="007734FE"/>
    <w:rsid w:val="00780B75"/>
    <w:rsid w:val="007825B3"/>
    <w:rsid w:val="00783713"/>
    <w:rsid w:val="00783C89"/>
    <w:rsid w:val="00786AEC"/>
    <w:rsid w:val="007875FA"/>
    <w:rsid w:val="00793646"/>
    <w:rsid w:val="0079682C"/>
    <w:rsid w:val="007A45CD"/>
    <w:rsid w:val="007B41E2"/>
    <w:rsid w:val="007B49CF"/>
    <w:rsid w:val="007C14C7"/>
    <w:rsid w:val="007D5DC6"/>
    <w:rsid w:val="007E02D0"/>
    <w:rsid w:val="007E29F7"/>
    <w:rsid w:val="007E4865"/>
    <w:rsid w:val="00802146"/>
    <w:rsid w:val="008033EC"/>
    <w:rsid w:val="00805181"/>
    <w:rsid w:val="0080707D"/>
    <w:rsid w:val="008070D6"/>
    <w:rsid w:val="0081464E"/>
    <w:rsid w:val="00821535"/>
    <w:rsid w:val="00827408"/>
    <w:rsid w:val="008319EC"/>
    <w:rsid w:val="00836E45"/>
    <w:rsid w:val="008410F9"/>
    <w:rsid w:val="00842944"/>
    <w:rsid w:val="00843647"/>
    <w:rsid w:val="00843C8F"/>
    <w:rsid w:val="008615B1"/>
    <w:rsid w:val="00862B13"/>
    <w:rsid w:val="0086301F"/>
    <w:rsid w:val="008709E4"/>
    <w:rsid w:val="008719CC"/>
    <w:rsid w:val="0087676C"/>
    <w:rsid w:val="00890F1C"/>
    <w:rsid w:val="00892FF2"/>
    <w:rsid w:val="008A07A3"/>
    <w:rsid w:val="008A3947"/>
    <w:rsid w:val="008A3A3E"/>
    <w:rsid w:val="008B0923"/>
    <w:rsid w:val="008B5066"/>
    <w:rsid w:val="008B5E92"/>
    <w:rsid w:val="008C3B5B"/>
    <w:rsid w:val="008C6BC7"/>
    <w:rsid w:val="008D33A0"/>
    <w:rsid w:val="008D3578"/>
    <w:rsid w:val="008D5206"/>
    <w:rsid w:val="008D6C58"/>
    <w:rsid w:val="008E0ECA"/>
    <w:rsid w:val="008E5E0A"/>
    <w:rsid w:val="008E7E8D"/>
    <w:rsid w:val="008F7CC9"/>
    <w:rsid w:val="009058AB"/>
    <w:rsid w:val="009155D0"/>
    <w:rsid w:val="009155FC"/>
    <w:rsid w:val="009209DB"/>
    <w:rsid w:val="00940037"/>
    <w:rsid w:val="00944B29"/>
    <w:rsid w:val="0094553E"/>
    <w:rsid w:val="009465E5"/>
    <w:rsid w:val="0095231B"/>
    <w:rsid w:val="0095631A"/>
    <w:rsid w:val="009623E1"/>
    <w:rsid w:val="00967CB9"/>
    <w:rsid w:val="0097405B"/>
    <w:rsid w:val="00974AA5"/>
    <w:rsid w:val="0097678D"/>
    <w:rsid w:val="00976800"/>
    <w:rsid w:val="00980436"/>
    <w:rsid w:val="00980DAF"/>
    <w:rsid w:val="00992197"/>
    <w:rsid w:val="00994C7D"/>
    <w:rsid w:val="009A345A"/>
    <w:rsid w:val="009A4984"/>
    <w:rsid w:val="009A4B9C"/>
    <w:rsid w:val="009B3268"/>
    <w:rsid w:val="009B58B0"/>
    <w:rsid w:val="009B58EC"/>
    <w:rsid w:val="009C0144"/>
    <w:rsid w:val="009D17C9"/>
    <w:rsid w:val="009D2FF3"/>
    <w:rsid w:val="009D376D"/>
    <w:rsid w:val="009D76AF"/>
    <w:rsid w:val="009E120D"/>
    <w:rsid w:val="009E13C8"/>
    <w:rsid w:val="009E5F1C"/>
    <w:rsid w:val="009F0212"/>
    <w:rsid w:val="009F3D4F"/>
    <w:rsid w:val="009F3EC3"/>
    <w:rsid w:val="00A01DCD"/>
    <w:rsid w:val="00A10AF4"/>
    <w:rsid w:val="00A159E2"/>
    <w:rsid w:val="00A17D8F"/>
    <w:rsid w:val="00A22325"/>
    <w:rsid w:val="00A236D6"/>
    <w:rsid w:val="00A30A02"/>
    <w:rsid w:val="00A3454A"/>
    <w:rsid w:val="00A34604"/>
    <w:rsid w:val="00A45D23"/>
    <w:rsid w:val="00A57236"/>
    <w:rsid w:val="00A6444C"/>
    <w:rsid w:val="00A65460"/>
    <w:rsid w:val="00A7216D"/>
    <w:rsid w:val="00A818CB"/>
    <w:rsid w:val="00A833B9"/>
    <w:rsid w:val="00A86BD4"/>
    <w:rsid w:val="00AA7348"/>
    <w:rsid w:val="00AA7EC2"/>
    <w:rsid w:val="00AC3308"/>
    <w:rsid w:val="00AC4BEE"/>
    <w:rsid w:val="00AD4A07"/>
    <w:rsid w:val="00AD4FFC"/>
    <w:rsid w:val="00AE2B22"/>
    <w:rsid w:val="00AE30B2"/>
    <w:rsid w:val="00AE5C59"/>
    <w:rsid w:val="00AF287C"/>
    <w:rsid w:val="00AF2BA9"/>
    <w:rsid w:val="00AF61DD"/>
    <w:rsid w:val="00B10142"/>
    <w:rsid w:val="00B31EBC"/>
    <w:rsid w:val="00B45A09"/>
    <w:rsid w:val="00B5394D"/>
    <w:rsid w:val="00B6019E"/>
    <w:rsid w:val="00B61192"/>
    <w:rsid w:val="00B61F9B"/>
    <w:rsid w:val="00B621AE"/>
    <w:rsid w:val="00B62B53"/>
    <w:rsid w:val="00B63CF2"/>
    <w:rsid w:val="00B7086C"/>
    <w:rsid w:val="00B762DD"/>
    <w:rsid w:val="00B807AC"/>
    <w:rsid w:val="00B80A0F"/>
    <w:rsid w:val="00B8299E"/>
    <w:rsid w:val="00B83597"/>
    <w:rsid w:val="00B92D7C"/>
    <w:rsid w:val="00BA4E13"/>
    <w:rsid w:val="00BA6B41"/>
    <w:rsid w:val="00BB57F1"/>
    <w:rsid w:val="00BB7654"/>
    <w:rsid w:val="00BC5120"/>
    <w:rsid w:val="00BC57CA"/>
    <w:rsid w:val="00BC7843"/>
    <w:rsid w:val="00BD0B72"/>
    <w:rsid w:val="00BD1CE4"/>
    <w:rsid w:val="00BD20A1"/>
    <w:rsid w:val="00BD3839"/>
    <w:rsid w:val="00BE44B9"/>
    <w:rsid w:val="00BE66FA"/>
    <w:rsid w:val="00BF34B5"/>
    <w:rsid w:val="00BF3C9D"/>
    <w:rsid w:val="00C00DF5"/>
    <w:rsid w:val="00C02DF6"/>
    <w:rsid w:val="00C04A97"/>
    <w:rsid w:val="00C213F2"/>
    <w:rsid w:val="00C23B14"/>
    <w:rsid w:val="00C23C3D"/>
    <w:rsid w:val="00C24A5F"/>
    <w:rsid w:val="00C27BF5"/>
    <w:rsid w:val="00C34895"/>
    <w:rsid w:val="00C41B50"/>
    <w:rsid w:val="00C44C31"/>
    <w:rsid w:val="00C46F6F"/>
    <w:rsid w:val="00C53845"/>
    <w:rsid w:val="00C600C6"/>
    <w:rsid w:val="00C611D2"/>
    <w:rsid w:val="00C643D4"/>
    <w:rsid w:val="00C75BEA"/>
    <w:rsid w:val="00C83677"/>
    <w:rsid w:val="00C84654"/>
    <w:rsid w:val="00C91B7C"/>
    <w:rsid w:val="00CA4590"/>
    <w:rsid w:val="00CB1DAF"/>
    <w:rsid w:val="00CB4616"/>
    <w:rsid w:val="00CB4DF4"/>
    <w:rsid w:val="00CB637F"/>
    <w:rsid w:val="00CC6284"/>
    <w:rsid w:val="00CC6B5D"/>
    <w:rsid w:val="00CD22C8"/>
    <w:rsid w:val="00CD274F"/>
    <w:rsid w:val="00CD343C"/>
    <w:rsid w:val="00CD5C2E"/>
    <w:rsid w:val="00CE2DE2"/>
    <w:rsid w:val="00CF1397"/>
    <w:rsid w:val="00CF355D"/>
    <w:rsid w:val="00CF5BEB"/>
    <w:rsid w:val="00CF6F98"/>
    <w:rsid w:val="00D01A33"/>
    <w:rsid w:val="00D07B23"/>
    <w:rsid w:val="00D15A4C"/>
    <w:rsid w:val="00D20B40"/>
    <w:rsid w:val="00D2786A"/>
    <w:rsid w:val="00D311A8"/>
    <w:rsid w:val="00D32568"/>
    <w:rsid w:val="00D32B0B"/>
    <w:rsid w:val="00D32FE1"/>
    <w:rsid w:val="00D352AF"/>
    <w:rsid w:val="00D45F81"/>
    <w:rsid w:val="00D546DD"/>
    <w:rsid w:val="00D56E7B"/>
    <w:rsid w:val="00D60BA2"/>
    <w:rsid w:val="00D6165F"/>
    <w:rsid w:val="00D718D3"/>
    <w:rsid w:val="00D727AD"/>
    <w:rsid w:val="00D73080"/>
    <w:rsid w:val="00D764DA"/>
    <w:rsid w:val="00D826FF"/>
    <w:rsid w:val="00D84E81"/>
    <w:rsid w:val="00D85E44"/>
    <w:rsid w:val="00D86372"/>
    <w:rsid w:val="00D905FC"/>
    <w:rsid w:val="00D92CF2"/>
    <w:rsid w:val="00D94973"/>
    <w:rsid w:val="00DA0843"/>
    <w:rsid w:val="00DA3EA4"/>
    <w:rsid w:val="00DA7BD0"/>
    <w:rsid w:val="00DB1315"/>
    <w:rsid w:val="00DB4C2A"/>
    <w:rsid w:val="00DC0798"/>
    <w:rsid w:val="00DC0AEB"/>
    <w:rsid w:val="00DC3547"/>
    <w:rsid w:val="00DC4EE3"/>
    <w:rsid w:val="00DD2354"/>
    <w:rsid w:val="00DE4D60"/>
    <w:rsid w:val="00DE6873"/>
    <w:rsid w:val="00E013DC"/>
    <w:rsid w:val="00E0440B"/>
    <w:rsid w:val="00E10F65"/>
    <w:rsid w:val="00E14374"/>
    <w:rsid w:val="00E1443B"/>
    <w:rsid w:val="00E25624"/>
    <w:rsid w:val="00E3081C"/>
    <w:rsid w:val="00E3570B"/>
    <w:rsid w:val="00E41858"/>
    <w:rsid w:val="00E47314"/>
    <w:rsid w:val="00E47FB7"/>
    <w:rsid w:val="00E52C8A"/>
    <w:rsid w:val="00E57A07"/>
    <w:rsid w:val="00E62D5F"/>
    <w:rsid w:val="00E62E4E"/>
    <w:rsid w:val="00E633BB"/>
    <w:rsid w:val="00E66C34"/>
    <w:rsid w:val="00E74164"/>
    <w:rsid w:val="00E75D2F"/>
    <w:rsid w:val="00E76490"/>
    <w:rsid w:val="00E81357"/>
    <w:rsid w:val="00E819C2"/>
    <w:rsid w:val="00E81DA3"/>
    <w:rsid w:val="00E83D3A"/>
    <w:rsid w:val="00E8486E"/>
    <w:rsid w:val="00E85015"/>
    <w:rsid w:val="00E93E11"/>
    <w:rsid w:val="00E958AB"/>
    <w:rsid w:val="00E975BC"/>
    <w:rsid w:val="00EA3BC0"/>
    <w:rsid w:val="00EA530B"/>
    <w:rsid w:val="00EA76D8"/>
    <w:rsid w:val="00EB2F10"/>
    <w:rsid w:val="00EB4774"/>
    <w:rsid w:val="00EC164A"/>
    <w:rsid w:val="00EC2932"/>
    <w:rsid w:val="00EC2F7C"/>
    <w:rsid w:val="00EC4E67"/>
    <w:rsid w:val="00EC5C0F"/>
    <w:rsid w:val="00EC6695"/>
    <w:rsid w:val="00EC7F45"/>
    <w:rsid w:val="00EE1AF7"/>
    <w:rsid w:val="00EE2A03"/>
    <w:rsid w:val="00EE3E91"/>
    <w:rsid w:val="00EE5498"/>
    <w:rsid w:val="00EF4008"/>
    <w:rsid w:val="00EF7D62"/>
    <w:rsid w:val="00F01928"/>
    <w:rsid w:val="00F01C9A"/>
    <w:rsid w:val="00F06433"/>
    <w:rsid w:val="00F10A3E"/>
    <w:rsid w:val="00F10E92"/>
    <w:rsid w:val="00F125DA"/>
    <w:rsid w:val="00F12F26"/>
    <w:rsid w:val="00F2542C"/>
    <w:rsid w:val="00F275C2"/>
    <w:rsid w:val="00F27B52"/>
    <w:rsid w:val="00F27EBF"/>
    <w:rsid w:val="00F4314E"/>
    <w:rsid w:val="00F44C5F"/>
    <w:rsid w:val="00F53325"/>
    <w:rsid w:val="00F5468B"/>
    <w:rsid w:val="00F63AAE"/>
    <w:rsid w:val="00F7710A"/>
    <w:rsid w:val="00F848AB"/>
    <w:rsid w:val="00F86080"/>
    <w:rsid w:val="00F86F9C"/>
    <w:rsid w:val="00F870B4"/>
    <w:rsid w:val="00F94D80"/>
    <w:rsid w:val="00FA11F7"/>
    <w:rsid w:val="00FA456C"/>
    <w:rsid w:val="00FA4CA9"/>
    <w:rsid w:val="00FA6B4D"/>
    <w:rsid w:val="00FB4A9A"/>
    <w:rsid w:val="00FB531D"/>
    <w:rsid w:val="00FD21BC"/>
    <w:rsid w:val="00FE7599"/>
    <w:rsid w:val="00FF01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10A3E"/>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10A3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Theme="minorHAnsi"/>
      <w:sz w:val="18"/>
      <w:lang w:eastAsia="en-US"/>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4F5D49"/>
    <w:pPr>
      <w:autoSpaceDE w:val="0"/>
      <w:autoSpaceDN w:val="0"/>
      <w:adjustRightInd w:val="0"/>
    </w:pPr>
    <w:rPr>
      <w:rFonts w:eastAsia="Calibri"/>
      <w:color w:val="000000"/>
      <w:sz w:val="24"/>
      <w:szCs w:val="24"/>
    </w:rPr>
  </w:style>
  <w:style w:type="paragraph" w:customStyle="1" w:styleId="MediumGrid2-Accent11">
    <w:name w:val="Medium Grid 2 - Accent 11"/>
    <w:uiPriority w:val="1"/>
    <w:qFormat/>
    <w:rsid w:val="00860970"/>
    <w:rPr>
      <w:rFonts w:ascii="Calibri" w:eastAsia="Calibri" w:hAnsi="Calibri"/>
      <w:sz w:val="22"/>
      <w:szCs w:val="22"/>
      <w:lang w:eastAsia="en-US"/>
    </w:rPr>
  </w:style>
  <w:style w:type="paragraph" w:styleId="NormalWeb">
    <w:name w:val="Normal (Web)"/>
    <w:basedOn w:val="Normal"/>
    <w:unhideWhenUsed/>
    <w:rsid w:val="00BE7B83"/>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680A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styleId="CommentReference">
    <w:name w:val="annotation reference"/>
    <w:basedOn w:val="DefaultParagraphFont"/>
    <w:rsid w:val="00E74164"/>
    <w:rPr>
      <w:sz w:val="16"/>
      <w:szCs w:val="16"/>
    </w:rPr>
  </w:style>
  <w:style w:type="paragraph" w:styleId="CommentText">
    <w:name w:val="annotation text"/>
    <w:basedOn w:val="Normal"/>
    <w:link w:val="CommentTextChar"/>
    <w:rsid w:val="00E74164"/>
    <w:pPr>
      <w:spacing w:line="240" w:lineRule="auto"/>
    </w:pPr>
  </w:style>
  <w:style w:type="character" w:customStyle="1" w:styleId="CommentTextChar">
    <w:name w:val="Comment Text Char"/>
    <w:basedOn w:val="DefaultParagraphFont"/>
    <w:link w:val="CommentText"/>
    <w:rsid w:val="00E74164"/>
    <w:rPr>
      <w:lang w:eastAsia="en-US"/>
    </w:rPr>
  </w:style>
  <w:style w:type="paragraph" w:styleId="CommentSubject">
    <w:name w:val="annotation subject"/>
    <w:basedOn w:val="CommentText"/>
    <w:next w:val="CommentText"/>
    <w:link w:val="CommentSubjectChar"/>
    <w:rsid w:val="00E74164"/>
    <w:rPr>
      <w:b/>
      <w:bCs/>
    </w:rPr>
  </w:style>
  <w:style w:type="character" w:customStyle="1" w:styleId="CommentSubjectChar">
    <w:name w:val="Comment Subject Char"/>
    <w:basedOn w:val="CommentTextChar"/>
    <w:link w:val="CommentSubject"/>
    <w:rsid w:val="00E74164"/>
    <w:rPr>
      <w:b/>
      <w:bCs/>
      <w:lang w:eastAsia="en-US"/>
    </w:rPr>
  </w:style>
  <w:style w:type="paragraph" w:styleId="Revision">
    <w:name w:val="Revision"/>
    <w:hidden/>
    <w:uiPriority w:val="99"/>
    <w:semiHidden/>
    <w:rsid w:val="0011353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10A3E"/>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10A3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Theme="minorHAnsi"/>
      <w:sz w:val="18"/>
      <w:lang w:eastAsia="en-US"/>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4F5D49"/>
    <w:pPr>
      <w:autoSpaceDE w:val="0"/>
      <w:autoSpaceDN w:val="0"/>
      <w:adjustRightInd w:val="0"/>
    </w:pPr>
    <w:rPr>
      <w:rFonts w:eastAsia="Calibri"/>
      <w:color w:val="000000"/>
      <w:sz w:val="24"/>
      <w:szCs w:val="24"/>
    </w:rPr>
  </w:style>
  <w:style w:type="paragraph" w:customStyle="1" w:styleId="MediumGrid2-Accent11">
    <w:name w:val="Medium Grid 2 - Accent 11"/>
    <w:uiPriority w:val="1"/>
    <w:qFormat/>
    <w:rsid w:val="00860970"/>
    <w:rPr>
      <w:rFonts w:ascii="Calibri" w:eastAsia="Calibri" w:hAnsi="Calibri"/>
      <w:sz w:val="22"/>
      <w:szCs w:val="22"/>
      <w:lang w:eastAsia="en-US"/>
    </w:rPr>
  </w:style>
  <w:style w:type="paragraph" w:styleId="NormalWeb">
    <w:name w:val="Normal (Web)"/>
    <w:basedOn w:val="Normal"/>
    <w:unhideWhenUsed/>
    <w:rsid w:val="00BE7B83"/>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680A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styleId="CommentReference">
    <w:name w:val="annotation reference"/>
    <w:basedOn w:val="DefaultParagraphFont"/>
    <w:rsid w:val="00E74164"/>
    <w:rPr>
      <w:sz w:val="16"/>
      <w:szCs w:val="16"/>
    </w:rPr>
  </w:style>
  <w:style w:type="paragraph" w:styleId="CommentText">
    <w:name w:val="annotation text"/>
    <w:basedOn w:val="Normal"/>
    <w:link w:val="CommentTextChar"/>
    <w:rsid w:val="00E74164"/>
    <w:pPr>
      <w:spacing w:line="240" w:lineRule="auto"/>
    </w:pPr>
  </w:style>
  <w:style w:type="character" w:customStyle="1" w:styleId="CommentTextChar">
    <w:name w:val="Comment Text Char"/>
    <w:basedOn w:val="DefaultParagraphFont"/>
    <w:link w:val="CommentText"/>
    <w:rsid w:val="00E74164"/>
    <w:rPr>
      <w:lang w:eastAsia="en-US"/>
    </w:rPr>
  </w:style>
  <w:style w:type="paragraph" w:styleId="CommentSubject">
    <w:name w:val="annotation subject"/>
    <w:basedOn w:val="CommentText"/>
    <w:next w:val="CommentText"/>
    <w:link w:val="CommentSubjectChar"/>
    <w:rsid w:val="00E74164"/>
    <w:rPr>
      <w:b/>
      <w:bCs/>
    </w:rPr>
  </w:style>
  <w:style w:type="character" w:customStyle="1" w:styleId="CommentSubjectChar">
    <w:name w:val="Comment Subject Char"/>
    <w:basedOn w:val="CommentTextChar"/>
    <w:link w:val="CommentSubject"/>
    <w:rsid w:val="00E74164"/>
    <w:rPr>
      <w:b/>
      <w:bCs/>
      <w:lang w:eastAsia="en-US"/>
    </w:rPr>
  </w:style>
  <w:style w:type="paragraph" w:styleId="Revision">
    <w:name w:val="Revision"/>
    <w:hidden/>
    <w:uiPriority w:val="99"/>
    <w:semiHidden/>
    <w:rsid w:val="001135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328">
      <w:bodyDiv w:val="1"/>
      <w:marLeft w:val="0"/>
      <w:marRight w:val="0"/>
      <w:marTop w:val="0"/>
      <w:marBottom w:val="0"/>
      <w:divBdr>
        <w:top w:val="none" w:sz="0" w:space="0" w:color="auto"/>
        <w:left w:val="none" w:sz="0" w:space="0" w:color="auto"/>
        <w:bottom w:val="none" w:sz="0" w:space="0" w:color="auto"/>
        <w:right w:val="none" w:sz="0" w:space="0" w:color="auto"/>
      </w:divBdr>
    </w:div>
    <w:div w:id="274677000">
      <w:bodyDiv w:val="1"/>
      <w:marLeft w:val="0"/>
      <w:marRight w:val="0"/>
      <w:marTop w:val="0"/>
      <w:marBottom w:val="0"/>
      <w:divBdr>
        <w:top w:val="none" w:sz="0" w:space="0" w:color="auto"/>
        <w:left w:val="none" w:sz="0" w:space="0" w:color="auto"/>
        <w:bottom w:val="none" w:sz="0" w:space="0" w:color="auto"/>
        <w:right w:val="none" w:sz="0" w:space="0" w:color="auto"/>
      </w:divBdr>
    </w:div>
    <w:div w:id="374505112">
      <w:bodyDiv w:val="1"/>
      <w:marLeft w:val="0"/>
      <w:marRight w:val="0"/>
      <w:marTop w:val="0"/>
      <w:marBottom w:val="0"/>
      <w:divBdr>
        <w:top w:val="none" w:sz="0" w:space="0" w:color="auto"/>
        <w:left w:val="none" w:sz="0" w:space="0" w:color="auto"/>
        <w:bottom w:val="none" w:sz="0" w:space="0" w:color="auto"/>
        <w:right w:val="none" w:sz="0" w:space="0" w:color="auto"/>
      </w:divBdr>
    </w:div>
    <w:div w:id="438644678">
      <w:bodyDiv w:val="1"/>
      <w:marLeft w:val="0"/>
      <w:marRight w:val="0"/>
      <w:marTop w:val="0"/>
      <w:marBottom w:val="0"/>
      <w:divBdr>
        <w:top w:val="none" w:sz="0" w:space="0" w:color="auto"/>
        <w:left w:val="none" w:sz="0" w:space="0" w:color="auto"/>
        <w:bottom w:val="none" w:sz="0" w:space="0" w:color="auto"/>
        <w:right w:val="none" w:sz="0" w:space="0" w:color="auto"/>
      </w:divBdr>
    </w:div>
    <w:div w:id="586764692">
      <w:bodyDiv w:val="1"/>
      <w:marLeft w:val="0"/>
      <w:marRight w:val="0"/>
      <w:marTop w:val="0"/>
      <w:marBottom w:val="0"/>
      <w:divBdr>
        <w:top w:val="none" w:sz="0" w:space="0" w:color="auto"/>
        <w:left w:val="none" w:sz="0" w:space="0" w:color="auto"/>
        <w:bottom w:val="none" w:sz="0" w:space="0" w:color="auto"/>
        <w:right w:val="none" w:sz="0" w:space="0" w:color="auto"/>
      </w:divBdr>
    </w:div>
    <w:div w:id="1023939288">
      <w:bodyDiv w:val="1"/>
      <w:marLeft w:val="0"/>
      <w:marRight w:val="0"/>
      <w:marTop w:val="0"/>
      <w:marBottom w:val="0"/>
      <w:divBdr>
        <w:top w:val="none" w:sz="0" w:space="0" w:color="auto"/>
        <w:left w:val="none" w:sz="0" w:space="0" w:color="auto"/>
        <w:bottom w:val="none" w:sz="0" w:space="0" w:color="auto"/>
        <w:right w:val="none" w:sz="0" w:space="0" w:color="auto"/>
      </w:divBdr>
    </w:div>
    <w:div w:id="1177647170">
      <w:bodyDiv w:val="1"/>
      <w:marLeft w:val="0"/>
      <w:marRight w:val="0"/>
      <w:marTop w:val="0"/>
      <w:marBottom w:val="0"/>
      <w:divBdr>
        <w:top w:val="none" w:sz="0" w:space="0" w:color="auto"/>
        <w:left w:val="none" w:sz="0" w:space="0" w:color="auto"/>
        <w:bottom w:val="none" w:sz="0" w:space="0" w:color="auto"/>
        <w:right w:val="none" w:sz="0" w:space="0" w:color="auto"/>
      </w:divBdr>
    </w:div>
    <w:div w:id="1182864525">
      <w:bodyDiv w:val="1"/>
      <w:marLeft w:val="0"/>
      <w:marRight w:val="0"/>
      <w:marTop w:val="0"/>
      <w:marBottom w:val="0"/>
      <w:divBdr>
        <w:top w:val="none" w:sz="0" w:space="0" w:color="auto"/>
        <w:left w:val="none" w:sz="0" w:space="0" w:color="auto"/>
        <w:bottom w:val="none" w:sz="0" w:space="0" w:color="auto"/>
        <w:right w:val="none" w:sz="0" w:space="0" w:color="auto"/>
      </w:divBdr>
    </w:div>
    <w:div w:id="1399137251">
      <w:bodyDiv w:val="1"/>
      <w:marLeft w:val="0"/>
      <w:marRight w:val="0"/>
      <w:marTop w:val="0"/>
      <w:marBottom w:val="0"/>
      <w:divBdr>
        <w:top w:val="none" w:sz="0" w:space="0" w:color="auto"/>
        <w:left w:val="none" w:sz="0" w:space="0" w:color="auto"/>
        <w:bottom w:val="none" w:sz="0" w:space="0" w:color="auto"/>
        <w:right w:val="none" w:sz="0" w:space="0" w:color="auto"/>
      </w:divBdr>
    </w:div>
    <w:div w:id="1403523849">
      <w:bodyDiv w:val="1"/>
      <w:marLeft w:val="0"/>
      <w:marRight w:val="0"/>
      <w:marTop w:val="0"/>
      <w:marBottom w:val="0"/>
      <w:divBdr>
        <w:top w:val="none" w:sz="0" w:space="0" w:color="auto"/>
        <w:left w:val="none" w:sz="0" w:space="0" w:color="auto"/>
        <w:bottom w:val="none" w:sz="0" w:space="0" w:color="auto"/>
        <w:right w:val="none" w:sz="0" w:space="0" w:color="auto"/>
      </w:divBdr>
    </w:div>
    <w:div w:id="1478380060">
      <w:bodyDiv w:val="1"/>
      <w:marLeft w:val="0"/>
      <w:marRight w:val="0"/>
      <w:marTop w:val="0"/>
      <w:marBottom w:val="0"/>
      <w:divBdr>
        <w:top w:val="none" w:sz="0" w:space="0" w:color="auto"/>
        <w:left w:val="none" w:sz="0" w:space="0" w:color="auto"/>
        <w:bottom w:val="none" w:sz="0" w:space="0" w:color="auto"/>
        <w:right w:val="none" w:sz="0" w:space="0" w:color="auto"/>
      </w:divBdr>
    </w:div>
    <w:div w:id="1524202370">
      <w:bodyDiv w:val="1"/>
      <w:marLeft w:val="0"/>
      <w:marRight w:val="0"/>
      <w:marTop w:val="0"/>
      <w:marBottom w:val="0"/>
      <w:divBdr>
        <w:top w:val="none" w:sz="0" w:space="0" w:color="auto"/>
        <w:left w:val="none" w:sz="0" w:space="0" w:color="auto"/>
        <w:bottom w:val="none" w:sz="0" w:space="0" w:color="auto"/>
        <w:right w:val="none" w:sz="0" w:space="0" w:color="auto"/>
      </w:divBdr>
    </w:div>
    <w:div w:id="1606306813">
      <w:bodyDiv w:val="1"/>
      <w:marLeft w:val="0"/>
      <w:marRight w:val="0"/>
      <w:marTop w:val="0"/>
      <w:marBottom w:val="0"/>
      <w:divBdr>
        <w:top w:val="none" w:sz="0" w:space="0" w:color="auto"/>
        <w:left w:val="none" w:sz="0" w:space="0" w:color="auto"/>
        <w:bottom w:val="none" w:sz="0" w:space="0" w:color="auto"/>
        <w:right w:val="none" w:sz="0" w:space="0" w:color="auto"/>
      </w:divBdr>
    </w:div>
    <w:div w:id="1697460618">
      <w:bodyDiv w:val="1"/>
      <w:marLeft w:val="0"/>
      <w:marRight w:val="0"/>
      <w:marTop w:val="0"/>
      <w:marBottom w:val="0"/>
      <w:divBdr>
        <w:top w:val="none" w:sz="0" w:space="0" w:color="auto"/>
        <w:left w:val="none" w:sz="0" w:space="0" w:color="auto"/>
        <w:bottom w:val="none" w:sz="0" w:space="0" w:color="auto"/>
        <w:right w:val="none" w:sz="0" w:space="0" w:color="auto"/>
      </w:divBdr>
    </w:div>
    <w:div w:id="1982416343">
      <w:bodyDiv w:val="1"/>
      <w:marLeft w:val="0"/>
      <w:marRight w:val="0"/>
      <w:marTop w:val="0"/>
      <w:marBottom w:val="0"/>
      <w:divBdr>
        <w:top w:val="none" w:sz="0" w:space="0" w:color="auto"/>
        <w:left w:val="none" w:sz="0" w:space="0" w:color="auto"/>
        <w:bottom w:val="none" w:sz="0" w:space="0" w:color="auto"/>
        <w:right w:val="none" w:sz="0" w:space="0" w:color="auto"/>
      </w:divBdr>
    </w:div>
    <w:div w:id="2005552631">
      <w:bodyDiv w:val="1"/>
      <w:marLeft w:val="0"/>
      <w:marRight w:val="0"/>
      <w:marTop w:val="0"/>
      <w:marBottom w:val="0"/>
      <w:divBdr>
        <w:top w:val="none" w:sz="0" w:space="0" w:color="auto"/>
        <w:left w:val="none" w:sz="0" w:space="0" w:color="auto"/>
        <w:bottom w:val="none" w:sz="0" w:space="0" w:color="auto"/>
        <w:right w:val="none" w:sz="0" w:space="0" w:color="auto"/>
      </w:divBdr>
    </w:div>
    <w:div w:id="21039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A01B8-B654-4580-B5E2-A037724D0A0C}"/>
</file>

<file path=customXml/itemProps2.xml><?xml version="1.0" encoding="utf-8"?>
<ds:datastoreItem xmlns:ds="http://schemas.openxmlformats.org/officeDocument/2006/customXml" ds:itemID="{C9AD04FA-CDCF-4254-8CF8-4061650DC447}"/>
</file>

<file path=customXml/itemProps3.xml><?xml version="1.0" encoding="utf-8"?>
<ds:datastoreItem xmlns:ds="http://schemas.openxmlformats.org/officeDocument/2006/customXml" ds:itemID="{01BB2515-FD49-473A-93C7-DE164E4D6E6C}"/>
</file>

<file path=customXml/itemProps4.xml><?xml version="1.0" encoding="utf-8"?>
<ds:datastoreItem xmlns:ds="http://schemas.openxmlformats.org/officeDocument/2006/customXml" ds:itemID="{DFE760D1-1575-463A-921F-51C6A9406B04}"/>
</file>

<file path=docProps/app.xml><?xml version="1.0" encoding="utf-8"?>
<Properties xmlns="http://schemas.openxmlformats.org/officeDocument/2006/extended-properties" xmlns:vt="http://schemas.openxmlformats.org/officeDocument/2006/docPropsVTypes">
  <Template>CCPR_E.dotm</Template>
  <TotalTime>1</TotalTime>
  <Pages>14</Pages>
  <Words>7361</Words>
  <Characters>41963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1607181</vt:lpstr>
    </vt:vector>
  </TitlesOfParts>
  <Company>CSD</Company>
  <LinksUpToDate>false</LinksUpToDate>
  <CharactersWithSpaces>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1607181</dc:title>
  <dc:subject>CCPR/C/116/D/2060/2011</dc:subject>
  <dc:creator>Viktoria Saprykina-Houdemer</dc:creator>
  <cp:lastModifiedBy>Viktoria Saprykina-Houdemer</cp:lastModifiedBy>
  <cp:revision>2</cp:revision>
  <cp:lastPrinted>2016-04-15T09:37:00Z</cp:lastPrinted>
  <dcterms:created xsi:type="dcterms:W3CDTF">2016-06-01T10:35:00Z</dcterms:created>
  <dcterms:modified xsi:type="dcterms:W3CDTF">2016-06-01T10:35:00Z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