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rsidRPr="00827353" w14:paraId="624D3DFE" w14:textId="77777777">
        <w:trPr>
          <w:cantSplit/>
          <w:trHeight w:hRule="exact" w:val="851"/>
        </w:trPr>
        <w:tc>
          <w:tcPr>
            <w:tcW w:w="1276" w:type="dxa"/>
            <w:tcBorders>
              <w:bottom w:val="single" w:sz="4" w:space="0" w:color="auto"/>
            </w:tcBorders>
            <w:vAlign w:val="bottom"/>
          </w:tcPr>
          <w:p w14:paraId="2F032578" w14:textId="77777777" w:rsidR="003521FD" w:rsidRPr="00827353" w:rsidRDefault="007F05D2" w:rsidP="003521FD">
            <w:pPr>
              <w:spacing w:after="80"/>
              <w:rPr>
                <w:lang w:val="en-GB"/>
              </w:rPr>
            </w:pPr>
            <w:r w:rsidRPr="00827353">
              <w:rPr>
                <w:lang w:val="en-GB"/>
              </w:rPr>
              <w:t xml:space="preserve"> </w:t>
            </w:r>
          </w:p>
        </w:tc>
        <w:tc>
          <w:tcPr>
            <w:tcW w:w="2268" w:type="dxa"/>
            <w:tcBorders>
              <w:bottom w:val="single" w:sz="4" w:space="0" w:color="auto"/>
            </w:tcBorders>
            <w:vAlign w:val="bottom"/>
          </w:tcPr>
          <w:p w14:paraId="26C128FD" w14:textId="77777777" w:rsidR="003521FD" w:rsidRPr="00827353" w:rsidRDefault="003521FD" w:rsidP="003521FD">
            <w:pPr>
              <w:spacing w:after="80" w:line="300" w:lineRule="exact"/>
              <w:rPr>
                <w:b/>
                <w:lang w:val="en-GB"/>
              </w:rPr>
            </w:pPr>
            <w:r w:rsidRPr="00827353">
              <w:rPr>
                <w:sz w:val="28"/>
                <w:szCs w:val="28"/>
                <w:lang w:val="en-GB"/>
              </w:rPr>
              <w:t>United Nations</w:t>
            </w:r>
          </w:p>
        </w:tc>
        <w:tc>
          <w:tcPr>
            <w:tcW w:w="6095" w:type="dxa"/>
            <w:gridSpan w:val="2"/>
            <w:tcBorders>
              <w:bottom w:val="single" w:sz="4" w:space="0" w:color="auto"/>
            </w:tcBorders>
            <w:vAlign w:val="bottom"/>
          </w:tcPr>
          <w:p w14:paraId="5B4E34D2" w14:textId="62B4E6DD" w:rsidR="003521FD" w:rsidRPr="00827353" w:rsidRDefault="000A57A9" w:rsidP="00AC34D5">
            <w:pPr>
              <w:jc w:val="right"/>
              <w:rPr>
                <w:lang w:val="en-GB"/>
              </w:rPr>
            </w:pPr>
            <w:r w:rsidRPr="00827353">
              <w:rPr>
                <w:sz w:val="40"/>
                <w:lang w:val="en-GB"/>
              </w:rPr>
              <w:t>CCPR</w:t>
            </w:r>
            <w:r w:rsidRPr="00827353">
              <w:rPr>
                <w:sz w:val="20"/>
                <w:szCs w:val="20"/>
                <w:lang w:val="en-GB"/>
              </w:rPr>
              <w:t>/C/12</w:t>
            </w:r>
            <w:r w:rsidR="00C77015" w:rsidRPr="00827353">
              <w:rPr>
                <w:sz w:val="20"/>
                <w:szCs w:val="20"/>
                <w:lang w:val="en-GB"/>
              </w:rPr>
              <w:t>5</w:t>
            </w:r>
            <w:r w:rsidRPr="00827353">
              <w:rPr>
                <w:sz w:val="20"/>
                <w:szCs w:val="20"/>
                <w:lang w:val="en-GB"/>
              </w:rPr>
              <w:t>/D/24</w:t>
            </w:r>
            <w:r w:rsidR="00C77015" w:rsidRPr="00827353">
              <w:rPr>
                <w:sz w:val="20"/>
                <w:szCs w:val="20"/>
                <w:lang w:val="en-GB"/>
              </w:rPr>
              <w:t>94</w:t>
            </w:r>
            <w:r w:rsidRPr="00827353">
              <w:rPr>
                <w:sz w:val="20"/>
                <w:szCs w:val="20"/>
                <w:lang w:val="en-GB"/>
              </w:rPr>
              <w:t>/2014</w:t>
            </w:r>
          </w:p>
        </w:tc>
      </w:tr>
      <w:tr w:rsidR="003521FD" w:rsidRPr="00827353" w14:paraId="4DEFF36C" w14:textId="77777777">
        <w:trPr>
          <w:cantSplit/>
          <w:trHeight w:hRule="exact" w:val="2835"/>
        </w:trPr>
        <w:tc>
          <w:tcPr>
            <w:tcW w:w="1276" w:type="dxa"/>
            <w:tcBorders>
              <w:top w:val="single" w:sz="4" w:space="0" w:color="auto"/>
              <w:bottom w:val="single" w:sz="12" w:space="0" w:color="auto"/>
            </w:tcBorders>
          </w:tcPr>
          <w:p w14:paraId="48503415" w14:textId="77777777" w:rsidR="003521FD" w:rsidRPr="00827353" w:rsidRDefault="00CD711B" w:rsidP="003521FD">
            <w:pPr>
              <w:spacing w:before="120"/>
              <w:rPr>
                <w:lang w:val="en-GB"/>
              </w:rPr>
            </w:pPr>
            <w:r w:rsidRPr="00827353">
              <w:rPr>
                <w:noProof/>
                <w:lang w:val="en-GB" w:eastAsia="en-GB" w:bidi="ar-SA"/>
              </w:rPr>
              <w:drawing>
                <wp:inline distT="0" distB="0" distL="0" distR="0" wp14:anchorId="40FFF363" wp14:editId="3628F67D">
                  <wp:extent cx="721360" cy="595630"/>
                  <wp:effectExtent l="0" t="0" r="254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BDE81F" w14:textId="77777777" w:rsidR="009E72F4" w:rsidRDefault="003521FD" w:rsidP="004322E0">
            <w:pPr>
              <w:spacing w:before="120" w:line="380" w:lineRule="exact"/>
              <w:rPr>
                <w:b/>
                <w:sz w:val="34"/>
                <w:szCs w:val="40"/>
                <w:lang w:val="en-GB"/>
              </w:rPr>
            </w:pPr>
            <w:r w:rsidRPr="00827353">
              <w:rPr>
                <w:b/>
                <w:sz w:val="34"/>
                <w:szCs w:val="40"/>
                <w:lang w:val="en-GB"/>
              </w:rPr>
              <w:t>International Covenant on</w:t>
            </w:r>
            <w:r w:rsidR="00B2295B">
              <w:rPr>
                <w:b/>
                <w:sz w:val="34"/>
                <w:szCs w:val="40"/>
                <w:lang w:val="en-GB"/>
              </w:rPr>
              <w:t xml:space="preserve"> </w:t>
            </w:r>
            <w:r w:rsidRPr="00827353">
              <w:rPr>
                <w:b/>
                <w:sz w:val="34"/>
                <w:szCs w:val="40"/>
                <w:lang w:val="en-GB"/>
              </w:rPr>
              <w:br/>
              <w:t>Civil and Political Rights</w:t>
            </w:r>
          </w:p>
          <w:p w14:paraId="1778F78A" w14:textId="0B7C65D8" w:rsidR="00065F3F" w:rsidRPr="00B2295B" w:rsidRDefault="00065F3F" w:rsidP="004322E0">
            <w:pPr>
              <w:spacing w:before="120" w:line="380" w:lineRule="exact"/>
              <w:rPr>
                <w:b/>
                <w:sz w:val="34"/>
                <w:szCs w:val="40"/>
                <w:lang w:val="en-GB"/>
              </w:rPr>
            </w:pPr>
            <w:r w:rsidRPr="000921E9">
              <w:rPr>
                <w:sz w:val="34"/>
                <w:szCs w:val="40"/>
              </w:rPr>
              <w:t>Advance unedited version</w:t>
            </w:r>
          </w:p>
        </w:tc>
        <w:tc>
          <w:tcPr>
            <w:tcW w:w="2835" w:type="dxa"/>
            <w:tcBorders>
              <w:top w:val="single" w:sz="4" w:space="0" w:color="auto"/>
              <w:bottom w:val="single" w:sz="12" w:space="0" w:color="auto"/>
            </w:tcBorders>
          </w:tcPr>
          <w:p w14:paraId="16BD1C63" w14:textId="3F5C4EC2" w:rsidR="00DF7972" w:rsidRPr="00827353" w:rsidRDefault="003521FD" w:rsidP="00DF7972">
            <w:pPr>
              <w:spacing w:before="240" w:line="240" w:lineRule="exact"/>
              <w:rPr>
                <w:sz w:val="20"/>
                <w:szCs w:val="20"/>
                <w:lang w:val="en-GB"/>
              </w:rPr>
            </w:pPr>
            <w:r w:rsidRPr="00827353">
              <w:rPr>
                <w:sz w:val="20"/>
                <w:szCs w:val="20"/>
                <w:lang w:val="en-GB"/>
              </w:rPr>
              <w:t>D</w:t>
            </w:r>
            <w:r w:rsidR="00FC6F29" w:rsidRPr="00827353">
              <w:rPr>
                <w:sz w:val="20"/>
                <w:szCs w:val="20"/>
                <w:lang w:val="en-GB"/>
              </w:rPr>
              <w:t xml:space="preserve">istr.: </w:t>
            </w:r>
            <w:r w:rsidR="00C3321E" w:rsidRPr="00C3321E">
              <w:rPr>
                <w:sz w:val="20"/>
                <w:szCs w:val="20"/>
                <w:lang w:val="en-GB"/>
              </w:rPr>
              <w:t>General</w:t>
            </w:r>
          </w:p>
          <w:p w14:paraId="6FF6BEBB" w14:textId="6B8C2797" w:rsidR="00DF7972" w:rsidRPr="00827353" w:rsidRDefault="00065F3F" w:rsidP="007234AA">
            <w:pPr>
              <w:spacing w:line="240" w:lineRule="exact"/>
              <w:rPr>
                <w:sz w:val="20"/>
                <w:szCs w:val="20"/>
                <w:lang w:val="en-GB"/>
              </w:rPr>
            </w:pPr>
            <w:r>
              <w:rPr>
                <w:sz w:val="20"/>
                <w:szCs w:val="20"/>
                <w:lang w:val="en-GB"/>
              </w:rPr>
              <w:t>1</w:t>
            </w:r>
            <w:r w:rsidR="002A3F92">
              <w:rPr>
                <w:sz w:val="20"/>
                <w:szCs w:val="20"/>
                <w:lang w:val="en-GB"/>
              </w:rPr>
              <w:t xml:space="preserve">0 </w:t>
            </w:r>
            <w:bookmarkStart w:id="0" w:name="_GoBack"/>
            <w:bookmarkEnd w:id="0"/>
            <w:r>
              <w:rPr>
                <w:sz w:val="20"/>
                <w:szCs w:val="20"/>
                <w:lang w:val="en-GB"/>
              </w:rPr>
              <w:t>April</w:t>
            </w:r>
            <w:r w:rsidR="00264B40" w:rsidRPr="00827353">
              <w:rPr>
                <w:sz w:val="20"/>
                <w:szCs w:val="20"/>
                <w:lang w:val="en-GB"/>
              </w:rPr>
              <w:t xml:space="preserve"> </w:t>
            </w:r>
            <w:r w:rsidR="001B0414">
              <w:rPr>
                <w:sz w:val="20"/>
                <w:szCs w:val="20"/>
                <w:lang w:val="en-GB"/>
              </w:rPr>
              <w:t>2019</w:t>
            </w:r>
          </w:p>
          <w:p w14:paraId="67FFF1AF" w14:textId="77777777" w:rsidR="003521FD" w:rsidRPr="00827353" w:rsidRDefault="003521FD" w:rsidP="003521FD">
            <w:pPr>
              <w:spacing w:line="240" w:lineRule="exact"/>
              <w:rPr>
                <w:sz w:val="20"/>
                <w:szCs w:val="20"/>
                <w:lang w:val="en-GB"/>
              </w:rPr>
            </w:pPr>
          </w:p>
          <w:p w14:paraId="60E7BA30" w14:textId="77777777" w:rsidR="00DF7972" w:rsidRPr="00827353" w:rsidRDefault="003521FD" w:rsidP="003521FD">
            <w:pPr>
              <w:spacing w:line="240" w:lineRule="exact"/>
              <w:rPr>
                <w:sz w:val="20"/>
                <w:szCs w:val="20"/>
                <w:lang w:val="en-GB"/>
              </w:rPr>
            </w:pPr>
            <w:r w:rsidRPr="00827353">
              <w:rPr>
                <w:sz w:val="20"/>
                <w:szCs w:val="20"/>
                <w:lang w:val="en-GB"/>
              </w:rPr>
              <w:t>Original: English</w:t>
            </w:r>
          </w:p>
          <w:p w14:paraId="5CD40C7D" w14:textId="0B0050EC" w:rsidR="0034764B" w:rsidRPr="00B2295B" w:rsidRDefault="0034764B" w:rsidP="003521FD">
            <w:pPr>
              <w:spacing w:line="240" w:lineRule="exact"/>
              <w:rPr>
                <w:sz w:val="20"/>
                <w:szCs w:val="20"/>
                <w:lang w:val="en-GB"/>
              </w:rPr>
            </w:pPr>
          </w:p>
        </w:tc>
      </w:tr>
    </w:tbl>
    <w:p w14:paraId="095A522D" w14:textId="77777777" w:rsidR="00264B40" w:rsidRPr="00827353" w:rsidRDefault="00264B40" w:rsidP="005D65C7">
      <w:pPr>
        <w:spacing w:before="120"/>
        <w:rPr>
          <w:b/>
          <w:lang w:val="en-GB"/>
        </w:rPr>
      </w:pPr>
      <w:r w:rsidRPr="00827353">
        <w:rPr>
          <w:b/>
          <w:lang w:val="en-GB"/>
        </w:rPr>
        <w:t>Human Rights Committee</w:t>
      </w:r>
    </w:p>
    <w:p w14:paraId="512B4AB6" w14:textId="204AF59D" w:rsidR="000A57A9" w:rsidRPr="005F58C9" w:rsidRDefault="000A57A9" w:rsidP="002A3F92">
      <w:pPr>
        <w:pStyle w:val="HChG"/>
        <w:ind w:right="850"/>
        <w:rPr>
          <w:rStyle w:val="FootnoteReference"/>
          <w:b w:val="0"/>
          <w:sz w:val="20"/>
          <w:szCs w:val="24"/>
          <w:vertAlign w:val="baseline"/>
          <w:lang w:val="en-US" w:bidi="he-IL"/>
        </w:rPr>
      </w:pPr>
      <w:r w:rsidRPr="00827353">
        <w:tab/>
      </w:r>
      <w:r w:rsidRPr="00827353">
        <w:tab/>
      </w:r>
      <w:r w:rsidR="00C3321E" w:rsidRPr="00C3321E">
        <w:rPr>
          <w:lang w:val="en-US"/>
        </w:rPr>
        <w:t xml:space="preserve">Views adopted by the Committee under article 5 (4) of the Optional Protocol, concerning communication No. </w:t>
      </w:r>
      <w:r w:rsidR="00C3321E">
        <w:rPr>
          <w:lang w:val="en-US"/>
        </w:rPr>
        <w:t>2494</w:t>
      </w:r>
      <w:r w:rsidR="00C3321E" w:rsidRPr="00C3321E">
        <w:rPr>
          <w:lang w:val="en-US"/>
        </w:rPr>
        <w:t>/</w:t>
      </w:r>
      <w:r w:rsidR="00C3321E">
        <w:rPr>
          <w:lang w:val="en-US"/>
        </w:rPr>
        <w:t>2014</w:t>
      </w:r>
      <w:r w:rsidR="00C3321E" w:rsidRPr="00C3321E">
        <w:rPr>
          <w:bCs/>
          <w:lang w:val="en-US"/>
        </w:rPr>
        <w:footnoteReference w:customMarkFollows="1" w:id="2"/>
        <w:t>*</w:t>
      </w:r>
      <w:r w:rsidR="00C3321E" w:rsidRPr="00C3321E">
        <w:rPr>
          <w:bCs/>
          <w:vertAlign w:val="superscript"/>
          <w:lang w:val="en-US"/>
        </w:rPr>
        <w:t>,</w:t>
      </w:r>
      <w:r w:rsidR="00C3321E" w:rsidRPr="00C3321E">
        <w:rPr>
          <w:lang w:val="en-US"/>
        </w:rPr>
        <w:t xml:space="preserve"> </w:t>
      </w:r>
      <w:r w:rsidR="00C3321E" w:rsidRPr="00C3321E">
        <w:rPr>
          <w:bCs/>
          <w:lang w:val="en-US"/>
        </w:rPr>
        <w:footnoteReference w:customMarkFollows="1" w:id="3"/>
        <w:t>**</w:t>
      </w:r>
      <w:r w:rsidRPr="00827353">
        <w:tab/>
      </w:r>
      <w:r w:rsidRPr="00827353">
        <w:tab/>
      </w:r>
    </w:p>
    <w:p w14:paraId="04DE1345" w14:textId="77777777" w:rsidR="008D6E86" w:rsidRPr="00827353" w:rsidRDefault="000A57A9" w:rsidP="000A57A9">
      <w:pPr>
        <w:pStyle w:val="SingleTxtG"/>
        <w:spacing w:before="360" w:after="240"/>
        <w:ind w:left="4536" w:hanging="3402"/>
      </w:pPr>
      <w:r w:rsidRPr="00827353">
        <w:rPr>
          <w:i/>
        </w:rPr>
        <w:t>Submitted by:</w:t>
      </w:r>
      <w:r w:rsidRPr="00827353">
        <w:tab/>
      </w:r>
      <w:r w:rsidR="00C77015" w:rsidRPr="00827353">
        <w:t>S.F</w:t>
      </w:r>
      <w:r w:rsidR="00102371" w:rsidRPr="00827353">
        <w:t>.</w:t>
      </w:r>
      <w:r w:rsidRPr="00827353">
        <w:t xml:space="preserve"> (represented by counsel</w:t>
      </w:r>
      <w:r w:rsidR="006540DA" w:rsidRPr="00827353">
        <w:t>, Mr. Niels-Erik Hansen</w:t>
      </w:r>
      <w:r w:rsidRPr="00827353">
        <w:t>)</w:t>
      </w:r>
    </w:p>
    <w:p w14:paraId="5695E7CD" w14:textId="76BD4D7E" w:rsidR="003521FD" w:rsidRPr="00827353" w:rsidRDefault="003521FD" w:rsidP="003521FD">
      <w:pPr>
        <w:pStyle w:val="SingleTxtG"/>
        <w:ind w:left="4536" w:hanging="3402"/>
      </w:pPr>
      <w:r w:rsidRPr="00827353">
        <w:rPr>
          <w:i/>
        </w:rPr>
        <w:t>Alleged victim:</w:t>
      </w:r>
      <w:r w:rsidRPr="00827353">
        <w:tab/>
        <w:t>Th</w:t>
      </w:r>
      <w:r w:rsidR="00F71FEB" w:rsidRPr="00827353">
        <w:t>e author</w:t>
      </w:r>
    </w:p>
    <w:p w14:paraId="4FEA83FB" w14:textId="77777777" w:rsidR="003521FD" w:rsidRPr="00827353" w:rsidRDefault="003521FD" w:rsidP="003521FD">
      <w:pPr>
        <w:pStyle w:val="SingleTxtG"/>
        <w:ind w:left="4536" w:hanging="3402"/>
      </w:pPr>
      <w:r w:rsidRPr="00827353">
        <w:rPr>
          <w:i/>
        </w:rPr>
        <w:t xml:space="preserve">State </w:t>
      </w:r>
      <w:r w:rsidR="0002166E" w:rsidRPr="00827353">
        <w:rPr>
          <w:i/>
        </w:rPr>
        <w:t>p</w:t>
      </w:r>
      <w:r w:rsidRPr="00827353">
        <w:rPr>
          <w:i/>
        </w:rPr>
        <w:t>arty:</w:t>
      </w:r>
      <w:r w:rsidRPr="00827353">
        <w:tab/>
      </w:r>
      <w:r w:rsidR="0033698B" w:rsidRPr="00827353">
        <w:t>Denmark</w:t>
      </w:r>
    </w:p>
    <w:p w14:paraId="72D60C39" w14:textId="77777777" w:rsidR="003521FD" w:rsidRPr="00827353" w:rsidRDefault="003521FD" w:rsidP="00292C19">
      <w:pPr>
        <w:pStyle w:val="SingleTxtG"/>
        <w:ind w:left="4536" w:hanging="3402"/>
      </w:pPr>
      <w:r w:rsidRPr="00827353">
        <w:rPr>
          <w:i/>
        </w:rPr>
        <w:t>Date of communication:</w:t>
      </w:r>
      <w:r w:rsidRPr="00827353">
        <w:tab/>
      </w:r>
      <w:r w:rsidR="00C77015" w:rsidRPr="00827353">
        <w:t>28 July 2014</w:t>
      </w:r>
      <w:r w:rsidR="009F6D6B" w:rsidRPr="00827353">
        <w:t xml:space="preserve"> (initial submission)</w:t>
      </w:r>
    </w:p>
    <w:p w14:paraId="189FD0F5" w14:textId="77777777" w:rsidR="003521FD" w:rsidRPr="00827353" w:rsidRDefault="003521FD" w:rsidP="003521FD">
      <w:pPr>
        <w:pStyle w:val="SingleTxtG"/>
        <w:ind w:left="4536" w:hanging="3402"/>
      </w:pPr>
      <w:r w:rsidRPr="00827353">
        <w:rPr>
          <w:i/>
        </w:rPr>
        <w:t>Document references:</w:t>
      </w:r>
      <w:r w:rsidRPr="00827353">
        <w:tab/>
      </w:r>
      <w:r w:rsidR="00AB2E4D" w:rsidRPr="00827353">
        <w:t>Decision taken pursuant to rule 97 of the Committee’s rules of procedure tran</w:t>
      </w:r>
      <w:r w:rsidR="00567E18" w:rsidRPr="00827353">
        <w:t>smitted to the State party on 9</w:t>
      </w:r>
      <w:r w:rsidR="00AB2E4D" w:rsidRPr="00827353">
        <w:t xml:space="preserve"> </w:t>
      </w:r>
      <w:r w:rsidR="00567E18" w:rsidRPr="00827353">
        <w:t xml:space="preserve">December </w:t>
      </w:r>
      <w:r w:rsidR="006540DA" w:rsidRPr="00827353">
        <w:t>2014</w:t>
      </w:r>
      <w:r w:rsidR="00AB2E4D" w:rsidRPr="00827353">
        <w:t xml:space="preserve"> (not issued in document form)</w:t>
      </w:r>
    </w:p>
    <w:p w14:paraId="4620105C" w14:textId="4FE1BB14" w:rsidR="003521FD" w:rsidRPr="00827353" w:rsidRDefault="003521FD" w:rsidP="00292C19">
      <w:pPr>
        <w:pStyle w:val="SingleTxtG"/>
        <w:ind w:left="4536" w:hanging="3402"/>
      </w:pPr>
      <w:r w:rsidRPr="00827353">
        <w:rPr>
          <w:i/>
        </w:rPr>
        <w:t>Date of adoption of Views:</w:t>
      </w:r>
      <w:r w:rsidRPr="00827353">
        <w:tab/>
      </w:r>
      <w:r w:rsidR="00C3321E">
        <w:t xml:space="preserve">14 </w:t>
      </w:r>
      <w:r w:rsidR="00105283" w:rsidRPr="00827353">
        <w:t>March</w:t>
      </w:r>
      <w:r w:rsidR="009E72F4" w:rsidRPr="00827353">
        <w:t xml:space="preserve"> </w:t>
      </w:r>
      <w:r w:rsidR="00D27EA6" w:rsidRPr="00827353">
        <w:t>201</w:t>
      </w:r>
      <w:r w:rsidR="00105283" w:rsidRPr="00827353">
        <w:t>9</w:t>
      </w:r>
    </w:p>
    <w:p w14:paraId="57206C97" w14:textId="1D1843A4" w:rsidR="003521FD" w:rsidRPr="00827353" w:rsidRDefault="0073108C" w:rsidP="00E951EF">
      <w:pPr>
        <w:pStyle w:val="SingleTxtG"/>
        <w:ind w:left="4536" w:hanging="3402"/>
      </w:pPr>
      <w:r w:rsidRPr="00827353">
        <w:rPr>
          <w:i/>
          <w:iCs/>
        </w:rPr>
        <w:t>Subject matter:</w:t>
      </w:r>
      <w:r w:rsidR="003521FD" w:rsidRPr="00827353">
        <w:rPr>
          <w:i/>
          <w:iCs/>
        </w:rPr>
        <w:tab/>
      </w:r>
      <w:r w:rsidR="00B716CB" w:rsidRPr="00827353">
        <w:rPr>
          <w:iCs/>
        </w:rPr>
        <w:t>D</w:t>
      </w:r>
      <w:r w:rsidR="005C0659" w:rsidRPr="00827353">
        <w:rPr>
          <w:iCs/>
        </w:rPr>
        <w:t>eportation to</w:t>
      </w:r>
      <w:r w:rsidR="00A40BD7" w:rsidRPr="00A40BD7">
        <w:rPr>
          <w:iCs/>
        </w:rPr>
        <w:t xml:space="preserve"> the Islamic Republic of Iran</w:t>
      </w:r>
      <w:r w:rsidR="00A40BD7" w:rsidRPr="00A40BD7" w:rsidDel="00A40BD7">
        <w:rPr>
          <w:iCs/>
        </w:rPr>
        <w:t xml:space="preserve"> </w:t>
      </w:r>
    </w:p>
    <w:p w14:paraId="11F2CE86" w14:textId="3D5DE153" w:rsidR="000F30FF" w:rsidRPr="00827353" w:rsidRDefault="003521FD" w:rsidP="0073108C">
      <w:pPr>
        <w:spacing w:after="120"/>
        <w:ind w:left="4524" w:hanging="3390"/>
        <w:jc w:val="both"/>
        <w:rPr>
          <w:iCs/>
          <w:sz w:val="20"/>
          <w:szCs w:val="20"/>
          <w:lang w:val="en-GB"/>
        </w:rPr>
      </w:pPr>
      <w:r w:rsidRPr="00827353">
        <w:rPr>
          <w:i/>
          <w:iCs/>
          <w:sz w:val="20"/>
          <w:szCs w:val="20"/>
          <w:lang w:val="en-GB"/>
        </w:rPr>
        <w:lastRenderedPageBreak/>
        <w:t>Procedural issue</w:t>
      </w:r>
      <w:r w:rsidR="00153922">
        <w:rPr>
          <w:i/>
          <w:iCs/>
          <w:sz w:val="20"/>
          <w:szCs w:val="20"/>
          <w:lang w:val="en-GB"/>
        </w:rPr>
        <w:t>s</w:t>
      </w:r>
      <w:r w:rsidRPr="00827353">
        <w:rPr>
          <w:i/>
          <w:sz w:val="20"/>
          <w:szCs w:val="20"/>
          <w:lang w:val="en-GB"/>
        </w:rPr>
        <w:t>:</w:t>
      </w:r>
      <w:r w:rsidRPr="00827353">
        <w:rPr>
          <w:lang w:val="en-GB"/>
        </w:rPr>
        <w:tab/>
      </w:r>
      <w:r w:rsidR="0073108C" w:rsidRPr="00827353">
        <w:rPr>
          <w:i/>
          <w:sz w:val="20"/>
          <w:szCs w:val="20"/>
          <w:lang w:val="en-GB"/>
        </w:rPr>
        <w:t>Rationae materie</w:t>
      </w:r>
      <w:r w:rsidR="009648DB" w:rsidRPr="00827353">
        <w:rPr>
          <w:sz w:val="20"/>
          <w:szCs w:val="20"/>
          <w:lang w:val="en-GB"/>
        </w:rPr>
        <w:t>;</w:t>
      </w:r>
      <w:r w:rsidR="0073108C" w:rsidRPr="00827353">
        <w:rPr>
          <w:sz w:val="20"/>
          <w:szCs w:val="20"/>
          <w:lang w:val="en-GB"/>
        </w:rPr>
        <w:t xml:space="preserve"> level of substantiation of claims</w:t>
      </w:r>
    </w:p>
    <w:p w14:paraId="2AE9B336" w14:textId="77777777" w:rsidR="003521FD" w:rsidRPr="00827353" w:rsidRDefault="003521FD" w:rsidP="00FF140B">
      <w:pPr>
        <w:pStyle w:val="SingleTxtG"/>
        <w:ind w:left="4536" w:hanging="3402"/>
      </w:pPr>
      <w:r w:rsidRPr="00827353">
        <w:rPr>
          <w:i/>
        </w:rPr>
        <w:t>Substantive issues:</w:t>
      </w:r>
      <w:r w:rsidRPr="00827353">
        <w:rPr>
          <w:i/>
        </w:rPr>
        <w:tab/>
      </w:r>
      <w:r w:rsidR="0081617A" w:rsidRPr="00827353">
        <w:t>Risk of t</w:t>
      </w:r>
      <w:r w:rsidR="00D27EA6" w:rsidRPr="00827353">
        <w:t>orture</w:t>
      </w:r>
      <w:r w:rsidR="000F30FF" w:rsidRPr="00827353">
        <w:t>,</w:t>
      </w:r>
      <w:r w:rsidR="00D27EA6" w:rsidRPr="00827353">
        <w:t xml:space="preserve"> cruel, inhuman or degrading treatment or punishment</w:t>
      </w:r>
      <w:r w:rsidR="0002166E" w:rsidRPr="00827353">
        <w:t>;</w:t>
      </w:r>
      <w:r w:rsidR="0081617A" w:rsidRPr="00827353">
        <w:t xml:space="preserve"> non-refoulement</w:t>
      </w:r>
    </w:p>
    <w:p w14:paraId="628CF1DC" w14:textId="5993DE36" w:rsidR="003521FD" w:rsidRPr="00827353" w:rsidRDefault="0073108C" w:rsidP="003521FD">
      <w:pPr>
        <w:pStyle w:val="SingleTxtG"/>
        <w:ind w:left="4536" w:hanging="3402"/>
      </w:pPr>
      <w:r w:rsidRPr="00827353">
        <w:rPr>
          <w:i/>
          <w:iCs/>
        </w:rPr>
        <w:t>Article</w:t>
      </w:r>
      <w:r w:rsidR="00153922">
        <w:rPr>
          <w:i/>
          <w:iCs/>
        </w:rPr>
        <w:t>s</w:t>
      </w:r>
      <w:r w:rsidRPr="00827353">
        <w:rPr>
          <w:i/>
          <w:iCs/>
        </w:rPr>
        <w:t xml:space="preserve"> of the Covenant:</w:t>
      </w:r>
      <w:r w:rsidR="003521FD" w:rsidRPr="00827353">
        <w:rPr>
          <w:i/>
          <w:iCs/>
        </w:rPr>
        <w:tab/>
      </w:r>
      <w:r w:rsidR="005E7D8B" w:rsidRPr="00827353">
        <w:rPr>
          <w:iCs/>
        </w:rPr>
        <w:t xml:space="preserve">2, 6, </w:t>
      </w:r>
      <w:r w:rsidR="0033698B" w:rsidRPr="00827353">
        <w:rPr>
          <w:iCs/>
        </w:rPr>
        <w:t>7</w:t>
      </w:r>
      <w:r w:rsidR="00567E18" w:rsidRPr="00827353">
        <w:rPr>
          <w:iCs/>
        </w:rPr>
        <w:t xml:space="preserve">, </w:t>
      </w:r>
      <w:r w:rsidR="00827353" w:rsidRPr="00827353">
        <w:rPr>
          <w:iCs/>
        </w:rPr>
        <w:t xml:space="preserve">13, </w:t>
      </w:r>
      <w:r w:rsidR="005E7D8B" w:rsidRPr="00827353">
        <w:rPr>
          <w:iCs/>
        </w:rPr>
        <w:t>14, 26</w:t>
      </w:r>
    </w:p>
    <w:p w14:paraId="103FD412" w14:textId="5C7723B2" w:rsidR="00B2295B" w:rsidRPr="007C183C" w:rsidRDefault="003521FD" w:rsidP="007C183C">
      <w:pPr>
        <w:pStyle w:val="SingleTxtG"/>
        <w:ind w:left="4536" w:hanging="3402"/>
      </w:pPr>
      <w:r w:rsidRPr="00827353">
        <w:rPr>
          <w:i/>
          <w:iCs/>
        </w:rPr>
        <w:t xml:space="preserve">Article of the Optional Protocol: </w:t>
      </w:r>
      <w:r w:rsidRPr="00827353">
        <w:rPr>
          <w:i/>
          <w:iCs/>
        </w:rPr>
        <w:tab/>
      </w:r>
      <w:r w:rsidR="0081617A" w:rsidRPr="00827353">
        <w:t>2</w:t>
      </w:r>
      <w:r w:rsidR="00B2295B">
        <w:rPr>
          <w:i/>
          <w:iCs/>
        </w:rPr>
        <w:br w:type="page"/>
      </w:r>
    </w:p>
    <w:p w14:paraId="073CEC0C" w14:textId="3D699439" w:rsidR="00937814" w:rsidRPr="00827353" w:rsidRDefault="00BA3414" w:rsidP="009A44BE">
      <w:pPr>
        <w:pStyle w:val="SingleTxtG"/>
      </w:pPr>
      <w:r w:rsidRPr="00827353">
        <w:lastRenderedPageBreak/>
        <w:t>1.1</w:t>
      </w:r>
      <w:r w:rsidRPr="00827353">
        <w:tab/>
      </w:r>
      <w:r w:rsidR="00191AF7" w:rsidRPr="00827353">
        <w:t>The author</w:t>
      </w:r>
      <w:r w:rsidR="0081617A" w:rsidRPr="00827353">
        <w:t xml:space="preserve"> of the communication </w:t>
      </w:r>
      <w:r w:rsidR="00567E18" w:rsidRPr="00827353">
        <w:t>is S.F</w:t>
      </w:r>
      <w:r w:rsidR="00191AF7" w:rsidRPr="00827353">
        <w:t>.,</w:t>
      </w:r>
      <w:r w:rsidR="0081617A" w:rsidRPr="00827353">
        <w:t xml:space="preserve"> </w:t>
      </w:r>
      <w:r w:rsidR="002107CB">
        <w:t xml:space="preserve">a national </w:t>
      </w:r>
      <w:r w:rsidR="00A40BD7" w:rsidRPr="00A40BD7">
        <w:t xml:space="preserve">of the Islamic Republic of Iran </w:t>
      </w:r>
      <w:r w:rsidR="0081617A" w:rsidRPr="00827353">
        <w:t xml:space="preserve">born on </w:t>
      </w:r>
      <w:r w:rsidR="00567E18" w:rsidRPr="00827353">
        <w:t>7 January 1960</w:t>
      </w:r>
      <w:r w:rsidR="0081617A" w:rsidRPr="00827353">
        <w:t xml:space="preserve">. </w:t>
      </w:r>
      <w:r w:rsidR="00A40BD7">
        <w:t>At the time of submission, h</w:t>
      </w:r>
      <w:r w:rsidR="00191AF7" w:rsidRPr="00827353">
        <w:t xml:space="preserve">e </w:t>
      </w:r>
      <w:r w:rsidR="00A40BD7">
        <w:t>wa</w:t>
      </w:r>
      <w:r w:rsidR="00191AF7" w:rsidRPr="00827353">
        <w:t xml:space="preserve">s </w:t>
      </w:r>
      <w:r w:rsidR="0081617A" w:rsidRPr="00827353">
        <w:t xml:space="preserve">subject to deportation to </w:t>
      </w:r>
      <w:r w:rsidR="00A40BD7" w:rsidRPr="00A40BD7">
        <w:t>the Islamic Republic of Iran</w:t>
      </w:r>
      <w:r w:rsidR="00A40BD7" w:rsidRPr="00A40BD7" w:rsidDel="00A40BD7">
        <w:t xml:space="preserve"> </w:t>
      </w:r>
      <w:r w:rsidR="0081617A" w:rsidRPr="00827353">
        <w:t xml:space="preserve"> following the Danish</w:t>
      </w:r>
      <w:r w:rsidR="00191AF7" w:rsidRPr="00827353">
        <w:t xml:space="preserve"> authorities’ rejection of his</w:t>
      </w:r>
      <w:r w:rsidR="0081617A" w:rsidRPr="00827353">
        <w:t xml:space="preserve"> application for refugee status. </w:t>
      </w:r>
      <w:r w:rsidR="00191AF7" w:rsidRPr="00827353">
        <w:t>He</w:t>
      </w:r>
      <w:r w:rsidR="0081617A" w:rsidRPr="00827353">
        <w:t xml:space="preserve"> claim</w:t>
      </w:r>
      <w:r w:rsidR="00A40BD7">
        <w:t>ed</w:t>
      </w:r>
      <w:r w:rsidR="0081617A" w:rsidRPr="00827353">
        <w:t xml:space="preserve"> that by forcibly deporting </w:t>
      </w:r>
      <w:r w:rsidR="00191AF7" w:rsidRPr="00827353">
        <w:t>him to</w:t>
      </w:r>
      <w:r w:rsidR="0081617A" w:rsidRPr="00827353">
        <w:t xml:space="preserve"> </w:t>
      </w:r>
      <w:r w:rsidR="00A40BD7" w:rsidRPr="00A40BD7">
        <w:t>the Islamic Republic of Iran</w:t>
      </w:r>
      <w:r w:rsidR="0081617A" w:rsidRPr="00827353">
        <w:t>, Denmark woul</w:t>
      </w:r>
      <w:r w:rsidR="00191AF7" w:rsidRPr="00827353">
        <w:t>d violate his</w:t>
      </w:r>
      <w:r w:rsidR="0081617A" w:rsidRPr="00827353">
        <w:t xml:space="preserve"> rights under article</w:t>
      </w:r>
      <w:r w:rsidR="00191AF7" w:rsidRPr="00827353">
        <w:t xml:space="preserve">s </w:t>
      </w:r>
      <w:r w:rsidR="00AF52CF" w:rsidRPr="00827353">
        <w:t>6 and</w:t>
      </w:r>
      <w:r w:rsidR="0081617A" w:rsidRPr="00827353">
        <w:t xml:space="preserve"> 7</w:t>
      </w:r>
      <w:r w:rsidR="00191AF7" w:rsidRPr="00827353">
        <w:t xml:space="preserve"> of the Covenant. </w:t>
      </w:r>
      <w:r w:rsidR="00AF52CF" w:rsidRPr="00827353">
        <w:t>He further claim</w:t>
      </w:r>
      <w:r w:rsidR="00A40BD7">
        <w:t>ed</w:t>
      </w:r>
      <w:r w:rsidR="00AF52CF" w:rsidRPr="00827353">
        <w:t xml:space="preserve"> that</w:t>
      </w:r>
      <w:r w:rsidR="00567E18" w:rsidRPr="00827353">
        <w:t xml:space="preserve"> his rights under articles </w:t>
      </w:r>
      <w:r w:rsidR="00567E18" w:rsidRPr="00D12A5C">
        <w:t>2</w:t>
      </w:r>
      <w:r w:rsidR="00567E18" w:rsidRPr="00827353">
        <w:t>,</w:t>
      </w:r>
      <w:r w:rsidR="00AF52CF" w:rsidRPr="00827353">
        <w:t xml:space="preserve"> </w:t>
      </w:r>
      <w:r w:rsidR="00827353" w:rsidRPr="00827353">
        <w:t xml:space="preserve">13, </w:t>
      </w:r>
      <w:r w:rsidR="00AF52CF" w:rsidRPr="00827353">
        <w:t>14 and 26 of the Covenant ha</w:t>
      </w:r>
      <w:r w:rsidR="00A40BD7">
        <w:t>d</w:t>
      </w:r>
      <w:r w:rsidR="00AF52CF" w:rsidRPr="00827353">
        <w:t xml:space="preserve"> been violated in connection with the hearing of his asylum case by the Danish authorities. </w:t>
      </w:r>
      <w:r w:rsidR="00A40BD7" w:rsidRPr="00827353">
        <w:t xml:space="preserve">The Optional Protocol entered into force for </w:t>
      </w:r>
      <w:r w:rsidR="00A40BD7">
        <w:t>the State party</w:t>
      </w:r>
      <w:r w:rsidR="00A40BD7" w:rsidRPr="00827353">
        <w:t xml:space="preserve"> on 23 March 1976.</w:t>
      </w:r>
      <w:r w:rsidR="00A40BD7">
        <w:t xml:space="preserve"> </w:t>
      </w:r>
      <w:r w:rsidR="00191AF7" w:rsidRPr="00827353">
        <w:t>The author</w:t>
      </w:r>
      <w:r w:rsidR="0081617A" w:rsidRPr="00827353">
        <w:t xml:space="preserve"> </w:t>
      </w:r>
      <w:r w:rsidR="00191AF7" w:rsidRPr="00827353">
        <w:t>is represented by</w:t>
      </w:r>
      <w:r w:rsidR="00153922">
        <w:t xml:space="preserve"> counsel</w:t>
      </w:r>
      <w:r w:rsidR="0081617A" w:rsidRPr="00827353">
        <w:t>.</w:t>
      </w:r>
    </w:p>
    <w:p w14:paraId="473830BF" w14:textId="5DA8D68B" w:rsidR="0028525A" w:rsidRPr="00827353" w:rsidRDefault="00BA3414" w:rsidP="009A44BE">
      <w:pPr>
        <w:pStyle w:val="SingleTxtG"/>
      </w:pPr>
      <w:r w:rsidRPr="00827353">
        <w:t>1.2</w:t>
      </w:r>
      <w:r w:rsidRPr="00827353">
        <w:tab/>
      </w:r>
      <w:r w:rsidR="00191AF7" w:rsidRPr="00827353">
        <w:t xml:space="preserve">On </w:t>
      </w:r>
      <w:r w:rsidR="00153922">
        <w:t>30 July</w:t>
      </w:r>
      <w:r w:rsidR="00567E18" w:rsidRPr="00827353">
        <w:t xml:space="preserve"> 2014</w:t>
      </w:r>
      <w:r w:rsidR="007D3F5F">
        <w:t>,</w:t>
      </w:r>
      <w:r w:rsidR="0081617A" w:rsidRPr="00827353">
        <w:t xml:space="preserve"> pursuant to rule 92 of the Committee’s rules of procedure, the Special Rapporteur on </w:t>
      </w:r>
      <w:r w:rsidR="00A6414A" w:rsidRPr="00827353">
        <w:t>n</w:t>
      </w:r>
      <w:r w:rsidR="0081617A" w:rsidRPr="00827353">
        <w:t xml:space="preserve">ew </w:t>
      </w:r>
      <w:r w:rsidR="00A6414A" w:rsidRPr="00827353">
        <w:t>c</w:t>
      </w:r>
      <w:r w:rsidR="0081617A" w:rsidRPr="00827353">
        <w:t xml:space="preserve">ommunications and </w:t>
      </w:r>
      <w:r w:rsidR="00A6414A" w:rsidRPr="00827353">
        <w:t>i</w:t>
      </w:r>
      <w:r w:rsidR="0081617A" w:rsidRPr="00827353">
        <w:t xml:space="preserve">nterim </w:t>
      </w:r>
      <w:r w:rsidR="00A6414A" w:rsidRPr="00827353">
        <w:t>m</w:t>
      </w:r>
      <w:r w:rsidR="0081617A" w:rsidRPr="00827353">
        <w:t xml:space="preserve">easures </w:t>
      </w:r>
      <w:r w:rsidR="00567E18" w:rsidRPr="00827353">
        <w:t xml:space="preserve">decided not to issue a request for </w:t>
      </w:r>
      <w:r w:rsidR="00191AF7" w:rsidRPr="00827353">
        <w:t>interim measures.</w:t>
      </w:r>
    </w:p>
    <w:p w14:paraId="51B2E58E" w14:textId="313B6DE9" w:rsidR="003521FD" w:rsidRPr="00827353" w:rsidRDefault="003521FD" w:rsidP="00B2295B">
      <w:pPr>
        <w:pStyle w:val="H23G"/>
      </w:pPr>
      <w:r w:rsidRPr="00827353">
        <w:tab/>
      </w:r>
      <w:r w:rsidR="0028525A" w:rsidRPr="00827353">
        <w:tab/>
      </w:r>
      <w:r w:rsidR="0013693A" w:rsidRPr="00827353">
        <w:t>The facts</w:t>
      </w:r>
      <w:r w:rsidR="00291DE2" w:rsidRPr="00827353">
        <w:t xml:space="preserve"> </w:t>
      </w:r>
      <w:r w:rsidR="00291DE2" w:rsidRPr="00B2295B">
        <w:t>as</w:t>
      </w:r>
      <w:r w:rsidR="00291DE2" w:rsidRPr="00827353">
        <w:t xml:space="preserve"> </w:t>
      </w:r>
      <w:r w:rsidR="00A40BD7" w:rsidRPr="00A40BD7">
        <w:t>submitted</w:t>
      </w:r>
      <w:r w:rsidR="00291DE2" w:rsidRPr="00827353">
        <w:t xml:space="preserve"> by the author</w:t>
      </w:r>
    </w:p>
    <w:p w14:paraId="571D4E14" w14:textId="4FF44E33" w:rsidR="00A976DC" w:rsidRPr="00827353" w:rsidRDefault="002731ED" w:rsidP="00792744">
      <w:pPr>
        <w:pStyle w:val="SingleTxtG"/>
      </w:pPr>
      <w:r w:rsidRPr="00827353">
        <w:t>2.1</w:t>
      </w:r>
      <w:r w:rsidR="00A976DC" w:rsidRPr="00827353">
        <w:tab/>
      </w:r>
      <w:r w:rsidR="00921C93" w:rsidRPr="00827353">
        <w:t xml:space="preserve">The author fled </w:t>
      </w:r>
      <w:r w:rsidR="00647391" w:rsidRPr="00647391">
        <w:t>the Islamic Republic of Iran</w:t>
      </w:r>
      <w:r w:rsidR="00921C93" w:rsidRPr="00827353">
        <w:t xml:space="preserve"> in 1998</w:t>
      </w:r>
      <w:r w:rsidR="00921C93" w:rsidRPr="00827353">
        <w:rPr>
          <w:vertAlign w:val="superscript"/>
        </w:rPr>
        <w:footnoteReference w:id="4"/>
      </w:r>
      <w:r w:rsidR="00B810B5">
        <w:t xml:space="preserve"> and entered Denmark on 23 April 1998 without valid </w:t>
      </w:r>
      <w:r w:rsidR="00A5453B">
        <w:t xml:space="preserve">travel </w:t>
      </w:r>
      <w:r w:rsidR="00B810B5">
        <w:t>documents.</w:t>
      </w:r>
      <w:r w:rsidR="00A2050F">
        <w:t xml:space="preserve"> He applied for asylum the following day.</w:t>
      </w:r>
      <w:r w:rsidR="00B810B5">
        <w:t xml:space="preserve"> O</w:t>
      </w:r>
      <w:r w:rsidR="00921C93" w:rsidRPr="00827353">
        <w:t xml:space="preserve">n </w:t>
      </w:r>
      <w:r w:rsidR="00B810B5">
        <w:t xml:space="preserve">6 </w:t>
      </w:r>
      <w:r w:rsidR="00921C93" w:rsidRPr="00827353">
        <w:t xml:space="preserve">November 1998, </w:t>
      </w:r>
      <w:r w:rsidR="00B810B5" w:rsidRPr="00B810B5">
        <w:t xml:space="preserve">the Danish Immigration Service dismissed </w:t>
      </w:r>
      <w:r w:rsidR="00556C67">
        <w:t xml:space="preserve">his </w:t>
      </w:r>
      <w:r w:rsidR="00B810B5" w:rsidRPr="00B810B5">
        <w:t>application.</w:t>
      </w:r>
    </w:p>
    <w:p w14:paraId="1A4938C6" w14:textId="411672BE" w:rsidR="00B810B5" w:rsidRDefault="002B5387" w:rsidP="009A44BE">
      <w:pPr>
        <w:pStyle w:val="SingleTxtG"/>
      </w:pPr>
      <w:r w:rsidRPr="00827353">
        <w:t>2.2</w:t>
      </w:r>
      <w:r w:rsidR="00A976DC" w:rsidRPr="00827353">
        <w:tab/>
      </w:r>
      <w:r w:rsidR="00B810B5">
        <w:t>O</w:t>
      </w:r>
      <w:r w:rsidR="00921C93" w:rsidRPr="00827353">
        <w:t xml:space="preserve">n </w:t>
      </w:r>
      <w:r w:rsidR="00B810B5">
        <w:t xml:space="preserve">26 </w:t>
      </w:r>
      <w:r w:rsidR="00921C93" w:rsidRPr="00827353">
        <w:t xml:space="preserve">January 1999, the Refugee Appeals Board rejected </w:t>
      </w:r>
      <w:r w:rsidR="00582EF2">
        <w:t>the author’s</w:t>
      </w:r>
      <w:r w:rsidR="00921C93" w:rsidRPr="00827353">
        <w:t xml:space="preserve"> appeal</w:t>
      </w:r>
      <w:r w:rsidR="001B39F6">
        <w:t xml:space="preserve"> </w:t>
      </w:r>
      <w:r w:rsidR="00582EF2">
        <w:t xml:space="preserve">arguing that </w:t>
      </w:r>
      <w:r w:rsidR="001B39F6">
        <w:t xml:space="preserve">his statements </w:t>
      </w:r>
      <w:r w:rsidR="00EA305F">
        <w:t xml:space="preserve">seemed fabricated and </w:t>
      </w:r>
      <w:r w:rsidR="001B39F6">
        <w:t xml:space="preserve">lacked </w:t>
      </w:r>
      <w:r w:rsidR="00582EF2">
        <w:t xml:space="preserve">any </w:t>
      </w:r>
      <w:r w:rsidR="001B39F6">
        <w:t>logic and coherence</w:t>
      </w:r>
      <w:r w:rsidR="00EA305F">
        <w:t xml:space="preserve"> on certain points</w:t>
      </w:r>
      <w:r w:rsidR="00556C67">
        <w:t xml:space="preserve">. The Board </w:t>
      </w:r>
      <w:r w:rsidR="001B39F6">
        <w:t>considered</w:t>
      </w:r>
      <w:r w:rsidR="00921C93" w:rsidRPr="00827353">
        <w:t xml:space="preserve"> that </w:t>
      </w:r>
      <w:r w:rsidR="00556C67">
        <w:t>t</w:t>
      </w:r>
      <w:r w:rsidR="00921C93" w:rsidRPr="00827353">
        <w:t xml:space="preserve">he </w:t>
      </w:r>
      <w:r w:rsidR="00556C67">
        <w:t xml:space="preserve">author </w:t>
      </w:r>
      <w:r w:rsidR="00921C93" w:rsidRPr="00827353">
        <w:t>was not under risk of persecution if returned to Iran. The author however did not comply with the order to leave the</w:t>
      </w:r>
      <w:r w:rsidR="00B810B5">
        <w:t xml:space="preserve"> country and stayed in Denmark.</w:t>
      </w:r>
    </w:p>
    <w:p w14:paraId="0613BFCD" w14:textId="77777777" w:rsidR="00C021D6" w:rsidRPr="00827353" w:rsidRDefault="00B810B5" w:rsidP="009A44BE">
      <w:pPr>
        <w:pStyle w:val="SingleTxtG"/>
      </w:pPr>
      <w:r>
        <w:t>2.3</w:t>
      </w:r>
      <w:r>
        <w:tab/>
      </w:r>
      <w:r w:rsidR="00F11D51" w:rsidRPr="00827353">
        <w:t>Between 2000 and 2005, the author requested five times the reopening of his asylum case</w:t>
      </w:r>
      <w:r w:rsidR="00A2050F">
        <w:t xml:space="preserve">, but </w:t>
      </w:r>
      <w:r w:rsidR="00F11D51" w:rsidRPr="00827353">
        <w:t xml:space="preserve">the Refugee Appeals Board </w:t>
      </w:r>
      <w:r>
        <w:t>rejected a</w:t>
      </w:r>
      <w:r w:rsidR="00F11D51" w:rsidRPr="00827353">
        <w:t xml:space="preserve">ll </w:t>
      </w:r>
      <w:r>
        <w:t xml:space="preserve">his </w:t>
      </w:r>
      <w:r w:rsidR="00F11D51" w:rsidRPr="00827353">
        <w:t>requests.</w:t>
      </w:r>
      <w:r>
        <w:rPr>
          <w:rStyle w:val="FootnoteReference"/>
        </w:rPr>
        <w:footnoteReference w:id="5"/>
      </w:r>
      <w:r w:rsidR="00F11D51">
        <w:t xml:space="preserve"> </w:t>
      </w:r>
      <w:r w:rsidR="00921C93" w:rsidRPr="00827353">
        <w:t>In the summer of 2006, he participated in a hunger strike with other asylum seekers whose requests had also been denied. This attracted a lot of media attention</w:t>
      </w:r>
      <w:r w:rsidR="00556C67">
        <w:t>. Th</w:t>
      </w:r>
      <w:r w:rsidR="00921C93" w:rsidRPr="00827353">
        <w:t>e author was shown on a national news broadcast on Danish television</w:t>
      </w:r>
      <w:r w:rsidR="004C2311">
        <w:t>, given that he was one of the refused Iranian asylum-seekers who had been in Denmark for the longest time</w:t>
      </w:r>
      <w:r w:rsidR="00921C93" w:rsidRPr="00827353">
        <w:t>.</w:t>
      </w:r>
      <w:r w:rsidR="000D668F">
        <w:t xml:space="preserve"> Based on this media coverage of his case, th</w:t>
      </w:r>
      <w:r w:rsidR="00B0121F">
        <w:t>e author requested again the re</w:t>
      </w:r>
      <w:r w:rsidR="000D668F">
        <w:t>opening of his asylum case</w:t>
      </w:r>
      <w:r w:rsidR="000D668F" w:rsidRPr="000D668F">
        <w:t xml:space="preserve"> </w:t>
      </w:r>
      <w:r w:rsidR="000D668F">
        <w:t>on 12 February 2007</w:t>
      </w:r>
      <w:r w:rsidR="003E780C">
        <w:t>, claiming that he was certainly registered by representatives of the Iranian Embassy in Denmark</w:t>
      </w:r>
      <w:r w:rsidR="000D668F">
        <w:t>.</w:t>
      </w:r>
      <w:r w:rsidR="00CD3944">
        <w:t xml:space="preserve"> </w:t>
      </w:r>
      <w:r w:rsidR="00556C67">
        <w:t>O</w:t>
      </w:r>
      <w:r w:rsidR="00CD3944">
        <w:t xml:space="preserve">n 28 March 2007, the </w:t>
      </w:r>
      <w:r w:rsidR="00CD3944" w:rsidRPr="00CD3944">
        <w:t>Refugee Appeals Board</w:t>
      </w:r>
      <w:r w:rsidR="00B0121F">
        <w:t xml:space="preserve"> accepted to re</w:t>
      </w:r>
      <w:r w:rsidR="00CD3944">
        <w:t>open the case.</w:t>
      </w:r>
    </w:p>
    <w:p w14:paraId="3EB1D3F8" w14:textId="5490EE31" w:rsidR="009D73C1" w:rsidRPr="00827353" w:rsidRDefault="00C021D6" w:rsidP="00792744">
      <w:pPr>
        <w:pStyle w:val="SingleTxtG"/>
      </w:pPr>
      <w:r w:rsidRPr="00827353">
        <w:t>2.</w:t>
      </w:r>
      <w:r w:rsidR="000D668F">
        <w:t>4</w:t>
      </w:r>
      <w:r w:rsidRPr="00827353">
        <w:tab/>
      </w:r>
      <w:r w:rsidR="00921C93" w:rsidRPr="00827353">
        <w:t>On 30 August 2007, the Refugee Appeals Board</w:t>
      </w:r>
      <w:r w:rsidR="000C2A5A">
        <w:t xml:space="preserve"> found no reason to change its assessment of 26 January 1999.</w:t>
      </w:r>
      <w:r w:rsidR="008C6A75">
        <w:rPr>
          <w:rStyle w:val="FootnoteReference"/>
        </w:rPr>
        <w:footnoteReference w:id="6"/>
      </w:r>
      <w:r w:rsidR="00B03699">
        <w:t xml:space="preserve"> N</w:t>
      </w:r>
      <w:r w:rsidR="000F1F2B">
        <w:t>ew evidence produced by the author in the form of a summons dated 24 August 2005, according to which the author’s spouse had been summoned to appear in court in connection with a case of complicity in forgery,</w:t>
      </w:r>
      <w:r w:rsidR="00B03699">
        <w:t xml:space="preserve"> could not be interpreted as </w:t>
      </w:r>
      <w:r w:rsidR="000F1F2B">
        <w:t>proof that the Iranian authorities were persecuting the author.</w:t>
      </w:r>
      <w:r w:rsidR="009340FA">
        <w:rPr>
          <w:rStyle w:val="FootnoteReference"/>
        </w:rPr>
        <w:footnoteReference w:id="7"/>
      </w:r>
      <w:r w:rsidR="00E55A01">
        <w:t xml:space="preserve"> </w:t>
      </w:r>
      <w:r w:rsidR="00DC75CB">
        <w:t>Participating</w:t>
      </w:r>
      <w:r w:rsidR="00FF0F25" w:rsidRPr="00FF0F25">
        <w:t xml:space="preserve"> in a TV programme</w:t>
      </w:r>
      <w:r w:rsidR="00DC75CB">
        <w:t xml:space="preserve"> where </w:t>
      </w:r>
      <w:r w:rsidR="00FF0F25" w:rsidRPr="00FF0F25">
        <w:t>his na</w:t>
      </w:r>
      <w:r w:rsidR="00E55A01">
        <w:t xml:space="preserve">me and nationality appeared could </w:t>
      </w:r>
      <w:r w:rsidR="00FF0F25" w:rsidRPr="00FF0F25">
        <w:t xml:space="preserve">not </w:t>
      </w:r>
      <w:r w:rsidR="00582EF2">
        <w:t>justify</w:t>
      </w:r>
      <w:r w:rsidR="00FF0F25" w:rsidRPr="00FF0F25">
        <w:t xml:space="preserve"> the grant</w:t>
      </w:r>
      <w:r w:rsidR="00582EF2">
        <w:t>ing</w:t>
      </w:r>
      <w:r w:rsidR="00FF0F25" w:rsidRPr="00FF0F25">
        <w:t xml:space="preserve"> of asylum in Denmark</w:t>
      </w:r>
      <w:r w:rsidR="00921C93" w:rsidRPr="00827353">
        <w:t>.</w:t>
      </w:r>
      <w:r w:rsidR="00FF0F25">
        <w:rPr>
          <w:rStyle w:val="FootnoteReference"/>
        </w:rPr>
        <w:footnoteReference w:id="8"/>
      </w:r>
      <w:r w:rsidR="00921C93" w:rsidRPr="00827353">
        <w:t xml:space="preserve"> </w:t>
      </w:r>
      <w:r w:rsidR="007F32A5" w:rsidRPr="007F32A5">
        <w:t xml:space="preserve">The </w:t>
      </w:r>
      <w:r w:rsidR="00582EF2">
        <w:t>assumption</w:t>
      </w:r>
      <w:r w:rsidR="00582EF2" w:rsidRPr="007F32A5">
        <w:t xml:space="preserve"> </w:t>
      </w:r>
      <w:r w:rsidR="007F32A5" w:rsidRPr="007F32A5">
        <w:t xml:space="preserve">that the Iranian authorities </w:t>
      </w:r>
      <w:r w:rsidR="007F32A5">
        <w:t>must be aware that the author</w:t>
      </w:r>
      <w:r w:rsidR="007F32A5" w:rsidRPr="007F32A5">
        <w:t xml:space="preserve"> </w:t>
      </w:r>
      <w:r w:rsidR="007F32A5">
        <w:t>wa</w:t>
      </w:r>
      <w:r w:rsidR="007F32A5" w:rsidRPr="007F32A5">
        <w:t>s apply</w:t>
      </w:r>
      <w:r w:rsidR="007F32A5">
        <w:t>ing for asylum in Denmark could not</w:t>
      </w:r>
      <w:r w:rsidR="007F32A5" w:rsidRPr="007F32A5">
        <w:t xml:space="preserve"> independently justify residence.</w:t>
      </w:r>
      <w:r w:rsidR="007F32A5">
        <w:rPr>
          <w:rStyle w:val="FootnoteReference"/>
        </w:rPr>
        <w:footnoteReference w:id="9"/>
      </w:r>
      <w:r w:rsidR="007F32A5" w:rsidRPr="007F32A5">
        <w:t xml:space="preserve"> </w:t>
      </w:r>
      <w:r w:rsidR="00921C93" w:rsidRPr="00827353">
        <w:t xml:space="preserve">The Board also noted that the author was not involved in any </w:t>
      </w:r>
      <w:r w:rsidR="00E55A01">
        <w:t>political party</w:t>
      </w:r>
      <w:r w:rsidR="00F11D51">
        <w:t xml:space="preserve">. </w:t>
      </w:r>
      <w:r w:rsidR="00D3339F">
        <w:t xml:space="preserve">It </w:t>
      </w:r>
      <w:r w:rsidR="00921C93" w:rsidRPr="00827353">
        <w:t>therefore decided that the a</w:t>
      </w:r>
      <w:r w:rsidR="00F11D51">
        <w:t>uthor</w:t>
      </w:r>
      <w:r w:rsidR="00921C93" w:rsidRPr="00827353">
        <w:t xml:space="preserve"> had to leave the country or he would be forcibly deported.</w:t>
      </w:r>
      <w:r w:rsidR="00F11D51">
        <w:t xml:space="preserve"> However, the authorities were not able to deport him.</w:t>
      </w:r>
      <w:r w:rsidR="00F11D51">
        <w:rPr>
          <w:rStyle w:val="FootnoteReference"/>
        </w:rPr>
        <w:footnoteReference w:id="10"/>
      </w:r>
    </w:p>
    <w:p w14:paraId="471DA949" w14:textId="77777777" w:rsidR="00FD2FD7" w:rsidRPr="00827353" w:rsidRDefault="000D668F" w:rsidP="00792744">
      <w:pPr>
        <w:pStyle w:val="SingleTxtG"/>
      </w:pPr>
      <w:r>
        <w:t>2.5</w:t>
      </w:r>
      <w:r w:rsidR="00FD2FD7" w:rsidRPr="00827353">
        <w:tab/>
      </w:r>
      <w:r w:rsidR="00473F37">
        <w:t>On 23 November 2012, the author</w:t>
      </w:r>
      <w:r w:rsidR="00D3339F">
        <w:t xml:space="preserve"> was baptised, and then was issued a certificate of baptism on 6 June 2013</w:t>
      </w:r>
      <w:r w:rsidR="00921C93" w:rsidRPr="00827353">
        <w:t>.</w:t>
      </w:r>
      <w:r w:rsidR="002A4990" w:rsidRPr="002A4990">
        <w:t xml:space="preserve"> </w:t>
      </w:r>
      <w:r w:rsidR="000C1531">
        <w:t xml:space="preserve">On 25 July 2014, he was informed that his deportation was scheduled for 30 July 2014. </w:t>
      </w:r>
      <w:r w:rsidR="002A4990">
        <w:t>O</w:t>
      </w:r>
      <w:r w:rsidR="002A4990" w:rsidRPr="00827353">
        <w:t xml:space="preserve">n </w:t>
      </w:r>
      <w:r w:rsidR="002A4990">
        <w:t xml:space="preserve">27 </w:t>
      </w:r>
      <w:r w:rsidR="002A4990" w:rsidRPr="00827353">
        <w:t xml:space="preserve">May 2014, the author </w:t>
      </w:r>
      <w:r w:rsidR="002A4990">
        <w:t xml:space="preserve">sought to </w:t>
      </w:r>
      <w:r w:rsidR="002A4990" w:rsidRPr="00827353">
        <w:t>reopen</w:t>
      </w:r>
      <w:r w:rsidR="002A4990">
        <w:t xml:space="preserve"> his asylum case based on his</w:t>
      </w:r>
      <w:r w:rsidR="002A4990" w:rsidRPr="00827353">
        <w:t xml:space="preserve"> </w:t>
      </w:r>
      <w:r w:rsidR="00D3339F">
        <w:t>c</w:t>
      </w:r>
      <w:r w:rsidR="002A4990" w:rsidRPr="00827353">
        <w:t>onversion to Christianity.</w:t>
      </w:r>
    </w:p>
    <w:p w14:paraId="57F42757" w14:textId="6A68CA19" w:rsidR="00954C18" w:rsidRPr="00827353" w:rsidRDefault="00C021D6" w:rsidP="00792744">
      <w:pPr>
        <w:pStyle w:val="SingleTxtG"/>
      </w:pPr>
      <w:r w:rsidRPr="00827353">
        <w:t>2.</w:t>
      </w:r>
      <w:r w:rsidR="000D668F">
        <w:t>6</w:t>
      </w:r>
      <w:r w:rsidRPr="00827353">
        <w:tab/>
      </w:r>
      <w:r w:rsidR="006A59AB">
        <w:t>On 28 July 2014, t</w:t>
      </w:r>
      <w:r w:rsidR="00921C93" w:rsidRPr="00827353">
        <w:t>he Re</w:t>
      </w:r>
      <w:r w:rsidR="006A59AB">
        <w:t xml:space="preserve">fugee Appeals Board </w:t>
      </w:r>
      <w:r w:rsidR="00B0121F">
        <w:t>refused to re</w:t>
      </w:r>
      <w:r w:rsidR="00CD3944">
        <w:t>open his case</w:t>
      </w:r>
      <w:r w:rsidR="00921C93" w:rsidRPr="00827353">
        <w:t>.</w:t>
      </w:r>
      <w:r w:rsidR="002A4990">
        <w:t xml:space="preserve"> T</w:t>
      </w:r>
      <w:r w:rsidR="00276D7B">
        <w:t xml:space="preserve">he </w:t>
      </w:r>
      <w:r w:rsidR="00AA78B7">
        <w:t xml:space="preserve">Board considered that the </w:t>
      </w:r>
      <w:r w:rsidR="00276D7B">
        <w:t>certificate of baptism failed to render</w:t>
      </w:r>
      <w:r w:rsidR="002A4990">
        <w:t xml:space="preserve"> it probable that the author</w:t>
      </w:r>
      <w:r w:rsidR="00CD518A">
        <w:t>’s</w:t>
      </w:r>
      <w:r w:rsidR="002A4990">
        <w:t xml:space="preserve"> </w:t>
      </w:r>
      <w:r w:rsidR="00AA78B7">
        <w:t xml:space="preserve">conversion into </w:t>
      </w:r>
      <w:r w:rsidR="00276D7B">
        <w:t>Chr</w:t>
      </w:r>
      <w:r w:rsidR="002A4990">
        <w:t>istianity</w:t>
      </w:r>
      <w:r w:rsidR="00AA78B7">
        <w:t xml:space="preserve"> was authentic</w:t>
      </w:r>
      <w:r w:rsidR="002A4990">
        <w:t xml:space="preserve">. </w:t>
      </w:r>
      <w:r w:rsidR="00954C18">
        <w:t xml:space="preserve">On 30 July 2014, the author was forcibly returned to </w:t>
      </w:r>
      <w:r w:rsidR="00647391" w:rsidRPr="00647391">
        <w:t>the Islamic Republic of Iran</w:t>
      </w:r>
      <w:r w:rsidR="00954C18">
        <w:t>.</w:t>
      </w:r>
    </w:p>
    <w:p w14:paraId="4C961BEE" w14:textId="77777777" w:rsidR="003521FD" w:rsidRPr="00827353" w:rsidRDefault="003521FD" w:rsidP="00B2295B">
      <w:pPr>
        <w:pStyle w:val="H23G"/>
      </w:pPr>
      <w:r w:rsidRPr="00827353">
        <w:tab/>
      </w:r>
      <w:r w:rsidRPr="00827353">
        <w:tab/>
        <w:t>The complaint</w:t>
      </w:r>
    </w:p>
    <w:p w14:paraId="35BA65CF" w14:textId="1291182F" w:rsidR="003D45CB" w:rsidRDefault="003B1033" w:rsidP="00AD09EC">
      <w:pPr>
        <w:pStyle w:val="SingleTxtG"/>
      </w:pPr>
      <w:r w:rsidRPr="00827353">
        <w:t>3.1</w:t>
      </w:r>
      <w:r w:rsidRPr="00827353">
        <w:tab/>
      </w:r>
      <w:r w:rsidR="00647391">
        <w:t>In his initial</w:t>
      </w:r>
      <w:r w:rsidR="003F757F">
        <w:t xml:space="preserve"> submission, the author argues</w:t>
      </w:r>
      <w:r w:rsidR="00647391">
        <w:t xml:space="preserve"> that i</w:t>
      </w:r>
      <w:r w:rsidR="00827353" w:rsidRPr="00827353">
        <w:t xml:space="preserve">f returned to </w:t>
      </w:r>
      <w:r w:rsidR="00647391" w:rsidRPr="00647391">
        <w:t>the Islamic Republic of Iran</w:t>
      </w:r>
      <w:r w:rsidR="00827353" w:rsidRPr="00827353">
        <w:t xml:space="preserve">, </w:t>
      </w:r>
      <w:r w:rsidR="00AA78B7">
        <w:t xml:space="preserve">he would </w:t>
      </w:r>
      <w:r w:rsidR="00827353" w:rsidRPr="00827353">
        <w:t xml:space="preserve">risk persecution on account of </w:t>
      </w:r>
      <w:r w:rsidR="00AD09EC">
        <w:t xml:space="preserve">his conversion to Christianity – </w:t>
      </w:r>
      <w:r w:rsidR="00AA78B7">
        <w:t>against</w:t>
      </w:r>
      <w:r w:rsidR="00AD09EC">
        <w:t xml:space="preserve"> the Sharia law –</w:t>
      </w:r>
      <w:r w:rsidR="00827353" w:rsidRPr="00827353">
        <w:t xml:space="preserve"> in violation of articles 6 and 7 of the Covenant.</w:t>
      </w:r>
      <w:r w:rsidR="00B16EA3">
        <w:t xml:space="preserve"> </w:t>
      </w:r>
      <w:r w:rsidR="00AD09EC">
        <w:t xml:space="preserve">Being </w:t>
      </w:r>
      <w:r w:rsidR="00B16EA3">
        <w:t xml:space="preserve">away from </w:t>
      </w:r>
      <w:r w:rsidR="00647391" w:rsidRPr="00647391">
        <w:t>the Islamic Republic of Iran</w:t>
      </w:r>
      <w:r w:rsidR="00B16EA3">
        <w:t xml:space="preserve"> for 15 years, the Iranian authorities will ask him questions about his stay in Eur</w:t>
      </w:r>
      <w:r w:rsidR="00AD09EC">
        <w:t xml:space="preserve">ope and his reasons </w:t>
      </w:r>
      <w:r w:rsidR="00AA78B7">
        <w:t>for having fled</w:t>
      </w:r>
      <w:r w:rsidR="00AD09EC">
        <w:t xml:space="preserve"> the country</w:t>
      </w:r>
      <w:r w:rsidR="00B16EA3">
        <w:t xml:space="preserve">. The author’s wife </w:t>
      </w:r>
      <w:r w:rsidR="00AD09EC">
        <w:t xml:space="preserve">cannot return to </w:t>
      </w:r>
      <w:r w:rsidR="00647391" w:rsidRPr="00647391">
        <w:t>the Islamic Republic of Iran</w:t>
      </w:r>
      <w:r w:rsidR="00AD09EC">
        <w:t xml:space="preserve"> because she </w:t>
      </w:r>
      <w:r w:rsidR="00B16EA3">
        <w:t>is a refugee in Denmark, with a residence permit, hence the couple will be separated forever if the author is deported.</w:t>
      </w:r>
    </w:p>
    <w:p w14:paraId="4AE082B3" w14:textId="2693D8D2" w:rsidR="003035EA" w:rsidRDefault="003035EA" w:rsidP="003035EA">
      <w:pPr>
        <w:pStyle w:val="SingleTxtG"/>
      </w:pPr>
      <w:r>
        <w:t>3.2</w:t>
      </w:r>
      <w:r>
        <w:tab/>
        <w:t xml:space="preserve">The author </w:t>
      </w:r>
      <w:r w:rsidR="00337C25">
        <w:t xml:space="preserve">invokes </w:t>
      </w:r>
      <w:r w:rsidR="00AA78B7">
        <w:t xml:space="preserve">a violation of </w:t>
      </w:r>
      <w:r>
        <w:t xml:space="preserve">article 14 </w:t>
      </w:r>
      <w:r w:rsidR="00337C25">
        <w:t xml:space="preserve">of the Covenant for having </w:t>
      </w:r>
      <w:r w:rsidR="00AA78B7">
        <w:t xml:space="preserve">had </w:t>
      </w:r>
      <w:r w:rsidRPr="00D12A5C">
        <w:t xml:space="preserve">access </w:t>
      </w:r>
      <w:r w:rsidR="00337C25">
        <w:t xml:space="preserve">only </w:t>
      </w:r>
      <w:r w:rsidRPr="00D12A5C">
        <w:t xml:space="preserve">to an administrative procedure, </w:t>
      </w:r>
      <w:r w:rsidR="00CC1592">
        <w:t>and not</w:t>
      </w:r>
      <w:r w:rsidRPr="00D12A5C">
        <w:t xml:space="preserve"> to courts. </w:t>
      </w:r>
      <w:r w:rsidR="00CC1592">
        <w:t xml:space="preserve">In its </w:t>
      </w:r>
      <w:r w:rsidRPr="00D12A5C">
        <w:t xml:space="preserve">response to the concluding observations of the Committee on the Elimination of Racial Discrimination, the State party justified the denial of access to courts on the grounds that the Refugee </w:t>
      </w:r>
      <w:r w:rsidR="00CC1592">
        <w:t xml:space="preserve">Appeals </w:t>
      </w:r>
      <w:r w:rsidRPr="00D12A5C">
        <w:t>Board is a court-like organ.</w:t>
      </w:r>
      <w:r w:rsidRPr="00D12A5C">
        <w:rPr>
          <w:vertAlign w:val="superscript"/>
        </w:rPr>
        <w:footnoteReference w:id="11"/>
      </w:r>
      <w:r w:rsidRPr="00D12A5C">
        <w:t xml:space="preserve"> </w:t>
      </w:r>
      <w:r w:rsidR="00EF2D77">
        <w:t xml:space="preserve">But </w:t>
      </w:r>
      <w:r w:rsidRPr="00D12A5C">
        <w:t xml:space="preserve">that Committee </w:t>
      </w:r>
      <w:r w:rsidR="00EF2D77">
        <w:t xml:space="preserve">expressed concerns </w:t>
      </w:r>
      <w:r w:rsidRPr="00D12A5C">
        <w:t xml:space="preserve">“that decisions by the Refugee Board on asylum requests are final and may not be appealed before a court”, and </w:t>
      </w:r>
      <w:r w:rsidR="00EF2D77">
        <w:t>recommended</w:t>
      </w:r>
      <w:r w:rsidRPr="00D12A5C">
        <w:t xml:space="preserve"> that “asylum-seekers be granted the right to appeal against the Refugee Board’s decisions”.</w:t>
      </w:r>
      <w:r w:rsidRPr="00D12A5C">
        <w:rPr>
          <w:vertAlign w:val="superscript"/>
        </w:rPr>
        <w:footnoteReference w:id="12"/>
      </w:r>
    </w:p>
    <w:p w14:paraId="2202F854" w14:textId="45FE63A2" w:rsidR="00EC14E7" w:rsidRDefault="003035EA" w:rsidP="00D12A5C">
      <w:pPr>
        <w:pStyle w:val="SingleTxtG"/>
      </w:pPr>
      <w:r>
        <w:t>3.3</w:t>
      </w:r>
      <w:r w:rsidR="00D12A5C" w:rsidRPr="00D12A5C">
        <w:tab/>
        <w:t>The author also claims a violation of articles 13 and 14, in conjunction with articles 2 and 26 of the Covenant, on the grounds that</w:t>
      </w:r>
      <w:r w:rsidR="00EC14E7">
        <w:t xml:space="preserve"> no other person in Denmark would be denied the right to have a totally new issue – conversion – considered by a competent administrative body and/or be allowed to appeal a negative decision before a court. </w:t>
      </w:r>
      <w:r w:rsidR="00FB7FE6">
        <w:t xml:space="preserve">The Danish authorities rejected his right to a new hearing </w:t>
      </w:r>
      <w:r w:rsidR="00AA78B7">
        <w:t xml:space="preserve">on behalf of </w:t>
      </w:r>
      <w:r w:rsidR="00FB7FE6">
        <w:t xml:space="preserve">the five members of the </w:t>
      </w:r>
      <w:r w:rsidR="00FB7FE6" w:rsidRPr="00FB7FE6">
        <w:t>Refugee Appeals Board</w:t>
      </w:r>
      <w:r w:rsidR="00FB7FE6">
        <w:t xml:space="preserve">. </w:t>
      </w:r>
      <w:r w:rsidR="00EC14E7">
        <w:t xml:space="preserve">His </w:t>
      </w:r>
      <w:r w:rsidR="00FB7FE6">
        <w:t>right to a fair trial ha</w:t>
      </w:r>
      <w:r w:rsidR="00EC14E7">
        <w:t xml:space="preserve">s thus </w:t>
      </w:r>
      <w:r w:rsidR="00FB7FE6">
        <w:t xml:space="preserve">been </w:t>
      </w:r>
      <w:r w:rsidR="00EC14E7">
        <w:t>violated in a discriminatory manner</w:t>
      </w:r>
      <w:r w:rsidR="00560285">
        <w:t xml:space="preserve"> by the decision of 28 July 2014 because that was not a decision of the Refugee Appeals Board as a Board, but only the decision of a staff member with the consent of a Chairperson/Judge</w:t>
      </w:r>
      <w:r w:rsidR="00EC14E7">
        <w:t xml:space="preserve">. Some other asylum seekers have converted after receiving a negative decision by the Refugee Appeals Board and </w:t>
      </w:r>
      <w:r w:rsidR="00B0121F">
        <w:t>had consequently their cases re</w:t>
      </w:r>
      <w:r w:rsidR="00EC14E7">
        <w:t xml:space="preserve">opened </w:t>
      </w:r>
      <w:r w:rsidR="00006746">
        <w:t xml:space="preserve">with </w:t>
      </w:r>
      <w:r w:rsidR="00EC14E7">
        <w:t>positive decisions. The author should have had the same opportunity</w:t>
      </w:r>
      <w:r w:rsidR="00560285">
        <w:t xml:space="preserve"> to be allowed a new hearing where he could have presented all the evidence related to his conversion and thus allow all the five members of the Refugee Appeals Board to make an assessment</w:t>
      </w:r>
      <w:r w:rsidR="00EC14E7">
        <w:t>.</w:t>
      </w:r>
    </w:p>
    <w:p w14:paraId="66FD662F" w14:textId="6359835D" w:rsidR="00D12A5C" w:rsidRPr="00D12A5C" w:rsidRDefault="00EC14E7" w:rsidP="00D12A5C">
      <w:pPr>
        <w:pStyle w:val="SingleTxtG"/>
      </w:pPr>
      <w:r>
        <w:t>3.4</w:t>
      </w:r>
      <w:r w:rsidR="00E342AA">
        <w:tab/>
      </w:r>
      <w:r w:rsidR="00E342AA" w:rsidRPr="00E342AA">
        <w:t>F</w:t>
      </w:r>
      <w:r w:rsidR="00006746">
        <w:t>inally,</w:t>
      </w:r>
      <w:r w:rsidR="00E342AA" w:rsidRPr="00E342AA">
        <w:t xml:space="preserve"> whether or not he showed an interest in Christianity after the first decision by the Danish Immigration Service</w:t>
      </w:r>
      <w:r w:rsidR="00E342AA">
        <w:t xml:space="preserve"> and by the </w:t>
      </w:r>
      <w:r w:rsidR="00E342AA" w:rsidRPr="00E342AA">
        <w:t xml:space="preserve">Refugee Appeals Board cannot be </w:t>
      </w:r>
      <w:r w:rsidR="00006746">
        <w:t>used as a factor in assessing the author’s</w:t>
      </w:r>
      <w:r w:rsidR="00E342AA" w:rsidRPr="00E342AA">
        <w:t xml:space="preserve"> religious convictions</w:t>
      </w:r>
      <w:r w:rsidR="00E342AA">
        <w:t xml:space="preserve"> </w:t>
      </w:r>
      <w:r w:rsidR="00006746">
        <w:t xml:space="preserve">only in written proceedings and in the absence of a </w:t>
      </w:r>
      <w:r w:rsidR="00E342AA">
        <w:t>hearing b</w:t>
      </w:r>
      <w:r w:rsidR="00006746">
        <w:t>y</w:t>
      </w:r>
      <w:r w:rsidR="00E342AA">
        <w:t xml:space="preserve"> the Board</w:t>
      </w:r>
      <w:r w:rsidR="00E342AA" w:rsidRPr="00E342AA">
        <w:t xml:space="preserve">. Had he wanted to fake his religious conviction, he could have declared that he was a converted Christian when entering Denmark. The author therefore </w:t>
      </w:r>
      <w:r w:rsidR="00E342AA">
        <w:t xml:space="preserve">feels offended by this indirect allegation and considers the decision as a violation of his right to change religion, given that the decision will have great consequences for him if deported to </w:t>
      </w:r>
      <w:r w:rsidR="00647391" w:rsidRPr="00647391">
        <w:t>the Islamic Republic of Iran</w:t>
      </w:r>
      <w:r w:rsidR="00E342AA" w:rsidRPr="00E342AA">
        <w:t>.</w:t>
      </w:r>
    </w:p>
    <w:p w14:paraId="224617B5" w14:textId="77777777" w:rsidR="00E449D2" w:rsidRPr="00B2295B" w:rsidRDefault="003521FD" w:rsidP="00B2295B">
      <w:pPr>
        <w:pStyle w:val="H23G"/>
      </w:pPr>
      <w:r w:rsidRPr="00827353">
        <w:rPr>
          <w:sz w:val="22"/>
          <w:szCs w:val="22"/>
        </w:rPr>
        <w:tab/>
      </w:r>
      <w:r w:rsidRPr="00827353">
        <w:rPr>
          <w:sz w:val="22"/>
          <w:szCs w:val="22"/>
        </w:rPr>
        <w:tab/>
      </w:r>
      <w:r w:rsidR="00E449D2" w:rsidRPr="00B2295B">
        <w:t>State p</w:t>
      </w:r>
      <w:r w:rsidRPr="00B2295B">
        <w:t xml:space="preserve">arty’s </w:t>
      </w:r>
      <w:r w:rsidR="00E449D2" w:rsidRPr="00B2295B">
        <w:t>observations</w:t>
      </w:r>
      <w:r w:rsidR="003C6101" w:rsidRPr="00B2295B">
        <w:t xml:space="preserve"> on admissibility and the merits</w:t>
      </w:r>
    </w:p>
    <w:p w14:paraId="76082D2D" w14:textId="7C116647" w:rsidR="008D0A04" w:rsidRDefault="003521FD" w:rsidP="00A31DE9">
      <w:pPr>
        <w:pStyle w:val="SingleTxtG"/>
      </w:pPr>
      <w:r w:rsidRPr="00827353">
        <w:t>4.1</w:t>
      </w:r>
      <w:r w:rsidRPr="00827353">
        <w:tab/>
      </w:r>
      <w:r w:rsidR="000931D3" w:rsidRPr="00827353">
        <w:t>On</w:t>
      </w:r>
      <w:r w:rsidRPr="00827353">
        <w:t xml:space="preserve"> </w:t>
      </w:r>
      <w:r w:rsidR="00C47792">
        <w:t>9 June</w:t>
      </w:r>
      <w:r w:rsidR="00A31DE9" w:rsidRPr="00827353">
        <w:t xml:space="preserve"> 2014</w:t>
      </w:r>
      <w:r w:rsidR="00350443" w:rsidRPr="00827353">
        <w:t>, the State p</w:t>
      </w:r>
      <w:r w:rsidRPr="00827353">
        <w:t>arty submitted its observations on admissibility</w:t>
      </w:r>
      <w:r w:rsidR="000931D3" w:rsidRPr="00827353">
        <w:t xml:space="preserve"> </w:t>
      </w:r>
      <w:r w:rsidR="008726E3">
        <w:t>and</w:t>
      </w:r>
      <w:r w:rsidR="004F615E" w:rsidRPr="00827353">
        <w:t xml:space="preserve"> </w:t>
      </w:r>
      <w:r w:rsidR="008726E3">
        <w:t>merits</w:t>
      </w:r>
      <w:r w:rsidRPr="00827353">
        <w:t>.</w:t>
      </w:r>
      <w:r w:rsidR="008726E3">
        <w:t xml:space="preserve"> T</w:t>
      </w:r>
      <w:r w:rsidR="00A31DE9" w:rsidRPr="00827353">
        <w:t>he communication should be declared inadmissible</w:t>
      </w:r>
      <w:r w:rsidR="00D1171A" w:rsidRPr="00827353">
        <w:t>.</w:t>
      </w:r>
      <w:r w:rsidR="00A31DE9" w:rsidRPr="00827353">
        <w:t xml:space="preserve"> Should the Committee declare </w:t>
      </w:r>
      <w:r w:rsidR="00930303" w:rsidRPr="00827353">
        <w:t>it</w:t>
      </w:r>
      <w:r w:rsidR="008726E3">
        <w:t xml:space="preserve"> admissible,</w:t>
      </w:r>
      <w:r w:rsidR="00A31DE9" w:rsidRPr="00827353">
        <w:t xml:space="preserve"> the </w:t>
      </w:r>
      <w:r w:rsidR="00930303" w:rsidRPr="00827353">
        <w:t xml:space="preserve">Covenant </w:t>
      </w:r>
      <w:r w:rsidR="00A31DE9" w:rsidRPr="00827353">
        <w:t>will not be violated if the auth</w:t>
      </w:r>
      <w:r w:rsidR="008726E3">
        <w:t xml:space="preserve">or is returned to </w:t>
      </w:r>
      <w:r w:rsidR="00647391" w:rsidRPr="00647391">
        <w:t>the Islamic Republic of Iran</w:t>
      </w:r>
      <w:r w:rsidR="008726E3">
        <w:t>, and</w:t>
      </w:r>
      <w:r w:rsidR="00A31DE9" w:rsidRPr="00827353">
        <w:t xml:space="preserve"> </w:t>
      </w:r>
      <w:r w:rsidR="004064EB" w:rsidRPr="00827353">
        <w:t>a</w:t>
      </w:r>
      <w:r w:rsidR="00A31DE9" w:rsidRPr="00827353">
        <w:t>rtic</w:t>
      </w:r>
      <w:r w:rsidR="00930303" w:rsidRPr="00827353">
        <w:t>les 2, 13, 14 and 26 of the Covenant</w:t>
      </w:r>
      <w:r w:rsidR="00A31DE9" w:rsidRPr="00827353">
        <w:t xml:space="preserve"> have not been violated in connection</w:t>
      </w:r>
      <w:r w:rsidR="00930303" w:rsidRPr="00827353">
        <w:t xml:space="preserve"> with the hearing of the author’</w:t>
      </w:r>
      <w:r w:rsidR="00A31DE9" w:rsidRPr="00827353">
        <w:t>s asylum case by th</w:t>
      </w:r>
      <w:r w:rsidR="008726E3">
        <w:t>e Danish authorities.</w:t>
      </w:r>
    </w:p>
    <w:p w14:paraId="32BA20EB" w14:textId="77777777" w:rsidR="00993036" w:rsidRPr="00827353" w:rsidRDefault="00893512" w:rsidP="00AF02C1">
      <w:pPr>
        <w:pStyle w:val="SingleTxtG"/>
      </w:pPr>
      <w:r w:rsidRPr="00827353">
        <w:t>4.2</w:t>
      </w:r>
      <w:r w:rsidR="00D1171A" w:rsidRPr="00827353">
        <w:tab/>
        <w:t xml:space="preserve">The State party describes the structure, composition and functioning of the </w:t>
      </w:r>
      <w:r w:rsidR="004F615E" w:rsidRPr="00827353">
        <w:t>Refugee Appeals Board</w:t>
      </w:r>
      <w:r w:rsidR="00D1171A" w:rsidRPr="00827353">
        <w:t>,</w:t>
      </w:r>
      <w:r w:rsidR="00C30D0B" w:rsidRPr="00827353">
        <w:rPr>
          <w:rStyle w:val="FootnoteReference"/>
          <w:sz w:val="22"/>
          <w:szCs w:val="22"/>
        </w:rPr>
        <w:footnoteReference w:id="13"/>
      </w:r>
      <w:r w:rsidR="00D1171A" w:rsidRPr="00827353">
        <w:t xml:space="preserve"> as well as the legislation applying to asylum proceedings.</w:t>
      </w:r>
      <w:r w:rsidR="00C30D0B" w:rsidRPr="00827353">
        <w:rPr>
          <w:rStyle w:val="FootnoteReference"/>
          <w:sz w:val="22"/>
          <w:szCs w:val="22"/>
        </w:rPr>
        <w:footnoteReference w:id="14"/>
      </w:r>
      <w:r w:rsidR="00D1171A" w:rsidRPr="00827353">
        <w:t xml:space="preserve"> </w:t>
      </w:r>
      <w:r w:rsidR="00017BB3" w:rsidRPr="00827353">
        <w:t>It then</w:t>
      </w:r>
      <w:r w:rsidR="00AF02C1" w:rsidRPr="00827353">
        <w:t xml:space="preserve"> </w:t>
      </w:r>
      <w:r w:rsidR="00017BB3" w:rsidRPr="00827353">
        <w:t xml:space="preserve">submits </w:t>
      </w:r>
      <w:r w:rsidR="00AF02C1" w:rsidRPr="00827353">
        <w:t>that the author has</w:t>
      </w:r>
      <w:r w:rsidR="00D1171A" w:rsidRPr="00827353">
        <w:t xml:space="preserve"> failed to establish a </w:t>
      </w:r>
      <w:r w:rsidR="00D1171A" w:rsidRPr="00827353">
        <w:rPr>
          <w:i/>
        </w:rPr>
        <w:t>prima facie</w:t>
      </w:r>
      <w:r w:rsidR="00D1171A" w:rsidRPr="00827353">
        <w:t xml:space="preserve"> case for the purpose of admissibility under article</w:t>
      </w:r>
      <w:r w:rsidR="00AF02C1" w:rsidRPr="00827353">
        <w:t>s 2, 6,</w:t>
      </w:r>
      <w:r w:rsidR="00D1171A" w:rsidRPr="00827353">
        <w:t xml:space="preserve"> 7</w:t>
      </w:r>
      <w:r w:rsidR="00AF02C1" w:rsidRPr="00827353">
        <w:t>, 13 and 26</w:t>
      </w:r>
      <w:r w:rsidR="00D1171A" w:rsidRPr="00827353">
        <w:t xml:space="preserve"> of the Covenant, </w:t>
      </w:r>
      <w:r w:rsidR="002E13A8" w:rsidRPr="00827353">
        <w:t>in the absence of substantial grounds for believing that</w:t>
      </w:r>
      <w:r w:rsidR="00AF02C1" w:rsidRPr="00827353">
        <w:t xml:space="preserve"> he is </w:t>
      </w:r>
      <w:r w:rsidR="00963C14" w:rsidRPr="00827353">
        <w:t xml:space="preserve">in danger of being </w:t>
      </w:r>
      <w:r w:rsidR="00AF02C1" w:rsidRPr="00827353">
        <w:t xml:space="preserve">deprived of his life or </w:t>
      </w:r>
      <w:r w:rsidR="00963C14" w:rsidRPr="00827353">
        <w:t xml:space="preserve">subjected to inhuman or degrading treatment </w:t>
      </w:r>
      <w:r w:rsidR="00AF02C1" w:rsidRPr="00827353">
        <w:t>if returned</w:t>
      </w:r>
      <w:r w:rsidR="00EC1706" w:rsidRPr="00827353">
        <w:t xml:space="preserve"> to </w:t>
      </w:r>
      <w:r w:rsidR="00AF02C1" w:rsidRPr="00827353">
        <w:t>Iran or that those provisions have been violated in connecti</w:t>
      </w:r>
      <w:r w:rsidR="008726E3">
        <w:t>on with the consideration of his</w:t>
      </w:r>
      <w:r w:rsidR="00AF02C1" w:rsidRPr="00827353">
        <w:t xml:space="preserve"> case by the Danish authorities</w:t>
      </w:r>
      <w:r w:rsidR="00D1171A" w:rsidRPr="00827353">
        <w:t>.</w:t>
      </w:r>
      <w:r w:rsidR="00993036" w:rsidRPr="00827353">
        <w:t xml:space="preserve"> </w:t>
      </w:r>
      <w:r w:rsidR="0031124E" w:rsidRPr="00827353">
        <w:t>T</w:t>
      </w:r>
      <w:r w:rsidR="00993036" w:rsidRPr="00827353">
        <w:t>hese parts of the communication are</w:t>
      </w:r>
      <w:r w:rsidR="00FD0CC3" w:rsidRPr="00827353">
        <w:t xml:space="preserve"> therefore</w:t>
      </w:r>
      <w:r w:rsidR="00993036" w:rsidRPr="00827353">
        <w:t xml:space="preserve"> manifestly unfounded and should be declared inadmissible.</w:t>
      </w:r>
    </w:p>
    <w:p w14:paraId="298D9DBB" w14:textId="77777777" w:rsidR="00AF02C1" w:rsidRDefault="00893512" w:rsidP="00AF02C1">
      <w:pPr>
        <w:pStyle w:val="SingleTxtG"/>
      </w:pPr>
      <w:r w:rsidRPr="00827353">
        <w:t>4.3</w:t>
      </w:r>
      <w:r w:rsidR="00993036" w:rsidRPr="00827353">
        <w:tab/>
      </w:r>
      <w:r w:rsidR="003125B7">
        <w:t>T</w:t>
      </w:r>
      <w:r w:rsidR="003125B7" w:rsidRPr="00827353">
        <w:t xml:space="preserve">he Committee’s practice </w:t>
      </w:r>
      <w:r w:rsidR="003125B7">
        <w:t xml:space="preserve">under </w:t>
      </w:r>
      <w:r w:rsidR="00AF02C1" w:rsidRPr="00827353">
        <w:t>article 14 of the Covenant is that proceedings relating to the expulsion of an alien do not fall within the ambit of a determination of “rights and obligations in a suit at law” w</w:t>
      </w:r>
      <w:r w:rsidR="000E1E05">
        <w:t>ithin the meaning of article 14</w:t>
      </w:r>
      <w:r w:rsidR="00AF02C1" w:rsidRPr="00827353">
        <w:t>(1), but are go</w:t>
      </w:r>
      <w:r w:rsidR="00426ED5" w:rsidRPr="00827353">
        <w:t>verned by article 13 of the Covenant.</w:t>
      </w:r>
      <w:r w:rsidR="00426ED5" w:rsidRPr="00827353">
        <w:rPr>
          <w:rStyle w:val="FootnoteReference"/>
        </w:rPr>
        <w:footnoteReference w:id="15"/>
      </w:r>
      <w:r w:rsidR="00AF02C1" w:rsidRPr="00827353">
        <w:t xml:space="preserve"> Against this background, this part of the communication should </w:t>
      </w:r>
      <w:r w:rsidR="00993036" w:rsidRPr="00827353">
        <w:t xml:space="preserve">be declared </w:t>
      </w:r>
      <w:r w:rsidR="00AF02C1" w:rsidRPr="00827353">
        <w:t xml:space="preserve">inadmissible </w:t>
      </w:r>
      <w:r w:rsidR="00AF02C1" w:rsidRPr="00827353">
        <w:rPr>
          <w:i/>
        </w:rPr>
        <w:t>ratione materiae</w:t>
      </w:r>
      <w:r w:rsidR="00993036" w:rsidRPr="00827353">
        <w:t xml:space="preserve"> pursuant to a</w:t>
      </w:r>
      <w:r w:rsidR="00AF02C1" w:rsidRPr="00827353">
        <w:t>rticle 3 of the Optional Protocol.</w:t>
      </w:r>
    </w:p>
    <w:p w14:paraId="38E8D7EA" w14:textId="428DB212" w:rsidR="00BB28AC" w:rsidRDefault="00291571" w:rsidP="00D35447">
      <w:pPr>
        <w:pStyle w:val="SingleTxtG"/>
      </w:pPr>
      <w:r>
        <w:t>4.4</w:t>
      </w:r>
      <w:r w:rsidR="00F75DA1" w:rsidRPr="00827353">
        <w:tab/>
      </w:r>
      <w:r w:rsidR="003125B7">
        <w:t xml:space="preserve">On </w:t>
      </w:r>
      <w:r w:rsidR="00BB28AC" w:rsidRPr="00827353">
        <w:t xml:space="preserve">the merits, </w:t>
      </w:r>
      <w:r w:rsidR="00541AA5" w:rsidRPr="00827353">
        <w:t>the author has failed to establish that his</w:t>
      </w:r>
      <w:r w:rsidR="00BB28AC" w:rsidRPr="00827353">
        <w:t xml:space="preserve"> return to </w:t>
      </w:r>
      <w:r w:rsidR="00647391" w:rsidRPr="00647391">
        <w:t>the Islamic Republic of Iran</w:t>
      </w:r>
      <w:r w:rsidR="00BB28AC" w:rsidRPr="00827353">
        <w:t xml:space="preserve"> would </w:t>
      </w:r>
      <w:r w:rsidR="00B2497A" w:rsidRPr="00827353">
        <w:t xml:space="preserve">violate </w:t>
      </w:r>
      <w:r w:rsidR="00BB28AC" w:rsidRPr="00827353">
        <w:t>article</w:t>
      </w:r>
      <w:r w:rsidR="006F46D8" w:rsidRPr="00827353">
        <w:t>s</w:t>
      </w:r>
      <w:r w:rsidR="00541AA5" w:rsidRPr="00827353">
        <w:t xml:space="preserve"> 6 </w:t>
      </w:r>
      <w:r w:rsidR="006F46D8" w:rsidRPr="00827353">
        <w:t xml:space="preserve">and </w:t>
      </w:r>
      <w:r w:rsidR="00BB28AC" w:rsidRPr="00827353">
        <w:t>7 of the Covenant</w:t>
      </w:r>
      <w:r w:rsidR="006F46D8" w:rsidRPr="00827353">
        <w:t>,</w:t>
      </w:r>
      <w:r w:rsidR="00111E3B" w:rsidRPr="00827353">
        <w:t xml:space="preserve"> </w:t>
      </w:r>
      <w:r w:rsidR="006F46D8" w:rsidRPr="00827353">
        <w:t xml:space="preserve">and </w:t>
      </w:r>
      <w:r w:rsidR="00111E3B" w:rsidRPr="00827353">
        <w:t>that article</w:t>
      </w:r>
      <w:r w:rsidR="006F46D8" w:rsidRPr="00827353">
        <w:t>s</w:t>
      </w:r>
      <w:r w:rsidR="003125B7">
        <w:t xml:space="preserve"> 2, 13 or 26</w:t>
      </w:r>
      <w:r w:rsidR="00541AA5" w:rsidRPr="00827353">
        <w:t xml:space="preserve"> ha</w:t>
      </w:r>
      <w:r w:rsidR="006F46D8" w:rsidRPr="00827353">
        <w:t>ve</w:t>
      </w:r>
      <w:r w:rsidR="00541AA5" w:rsidRPr="00827353">
        <w:t xml:space="preserve"> been violated in connection with the hearing of </w:t>
      </w:r>
      <w:r w:rsidR="00111E3B" w:rsidRPr="00827353">
        <w:t>his</w:t>
      </w:r>
      <w:r w:rsidR="00541AA5" w:rsidRPr="00827353">
        <w:t xml:space="preserve"> asylum case</w:t>
      </w:r>
      <w:r w:rsidR="00BB28AC" w:rsidRPr="00827353">
        <w:t xml:space="preserve">. </w:t>
      </w:r>
      <w:r w:rsidR="003125B7">
        <w:t>T</w:t>
      </w:r>
      <w:r w:rsidR="00D35447" w:rsidRPr="00827353">
        <w:t>he Committee’s General Comment No. 6</w:t>
      </w:r>
      <w:r w:rsidR="005544E8" w:rsidRPr="00827353">
        <w:t xml:space="preserve"> on the right to life</w:t>
      </w:r>
      <w:r w:rsidR="003125B7">
        <w:t xml:space="preserve"> discussed</w:t>
      </w:r>
      <w:r w:rsidR="00D35447" w:rsidRPr="00827353">
        <w:t xml:space="preserve"> both negative and positive components of </w:t>
      </w:r>
      <w:r w:rsidR="00AA78B7">
        <w:t>the right to life</w:t>
      </w:r>
      <w:r w:rsidR="00D35447" w:rsidRPr="00827353">
        <w:t xml:space="preserve"> – that is, the right of a person not to be deprived of his life arbitrarily or unlawfully by the State or its agents, as well as the obligation of the State party to adopt measures that are conducive to</w:t>
      </w:r>
      <w:r w:rsidR="005544E8" w:rsidRPr="00827353">
        <w:t xml:space="preserve"> protecting life</w:t>
      </w:r>
      <w:r w:rsidR="00D35447" w:rsidRPr="00827353">
        <w:t xml:space="preserve">. </w:t>
      </w:r>
      <w:r w:rsidR="005544E8" w:rsidRPr="00827353">
        <w:t>Under</w:t>
      </w:r>
      <w:r w:rsidR="00BB28AC" w:rsidRPr="00827353">
        <w:t xml:space="preserve"> the Committee’s jurisprudence</w:t>
      </w:r>
      <w:r w:rsidR="005544E8" w:rsidRPr="00827353">
        <w:t>,</w:t>
      </w:r>
      <w:r w:rsidR="00B00A8C" w:rsidRPr="00827353">
        <w:t xml:space="preserve"> </w:t>
      </w:r>
      <w:r w:rsidR="00BB28AC" w:rsidRPr="00827353">
        <w:t>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which the person may subsequently be removed. The Committee has also indicated that the risk must be personal and that there is a high threshold for providing substantial grounds to establish that a real risk of irreparable harm exists.</w:t>
      </w:r>
      <w:r w:rsidR="00BB28AC" w:rsidRPr="00827353">
        <w:rPr>
          <w:rStyle w:val="FootnoteReference"/>
          <w:sz w:val="22"/>
          <w:szCs w:val="22"/>
        </w:rPr>
        <w:footnoteReference w:id="16"/>
      </w:r>
      <w:r w:rsidR="00BB28AC" w:rsidRPr="00827353">
        <w:t xml:space="preserve"> The State party</w:t>
      </w:r>
      <w:r w:rsidR="003E7C90" w:rsidRPr="00827353">
        <w:t>’s</w:t>
      </w:r>
      <w:r w:rsidR="00BB28AC" w:rsidRPr="00827353">
        <w:t xml:space="preserve"> obligations under article</w:t>
      </w:r>
      <w:r w:rsidR="00D35447" w:rsidRPr="00827353">
        <w:t>s 6 and</w:t>
      </w:r>
      <w:r w:rsidR="00BB28AC" w:rsidRPr="00827353">
        <w:t xml:space="preserve"> 7 of the Covenant ar</w:t>
      </w:r>
      <w:r w:rsidR="00FB6C8C" w:rsidRPr="00827353">
        <w:t>e reflected in section</w:t>
      </w:r>
      <w:r w:rsidR="00BB28AC" w:rsidRPr="00827353">
        <w:t xml:space="preserve"> 7</w:t>
      </w:r>
      <w:r w:rsidR="00283342" w:rsidRPr="00827353">
        <w:t xml:space="preserve">(1) and </w:t>
      </w:r>
      <w:r w:rsidR="00BB28AC" w:rsidRPr="00827353">
        <w:t xml:space="preserve">(2) of the Aliens Act, according to which a residence permit will be issued to an alien if </w:t>
      </w:r>
      <w:r w:rsidR="00604958" w:rsidRPr="00827353">
        <w:t>he or she</w:t>
      </w:r>
      <w:r w:rsidR="00FB6C8C" w:rsidRPr="00827353">
        <w:t xml:space="preserve"> </w:t>
      </w:r>
      <w:r w:rsidR="00BB28AC" w:rsidRPr="00827353">
        <w:t>risks</w:t>
      </w:r>
      <w:r w:rsidR="00FB6C8C" w:rsidRPr="00827353">
        <w:t xml:space="preserve"> the death penalty or</w:t>
      </w:r>
      <w:r w:rsidR="00BB28AC" w:rsidRPr="00827353">
        <w:t xml:space="preserve"> being subjected to torture or ill-treatment </w:t>
      </w:r>
      <w:r w:rsidR="00CD0012" w:rsidRPr="00827353">
        <w:t>if</w:t>
      </w:r>
      <w:r w:rsidR="00BB28AC" w:rsidRPr="00827353">
        <w:t xml:space="preserve"> return</w:t>
      </w:r>
      <w:r w:rsidR="00CD0012" w:rsidRPr="00827353">
        <w:t>ed</w:t>
      </w:r>
      <w:r w:rsidR="00BB28AC" w:rsidRPr="00827353">
        <w:t xml:space="preserve"> to his or her country of orig</w:t>
      </w:r>
      <w:r w:rsidR="00FB6C8C" w:rsidRPr="00827353">
        <w:t>in.</w:t>
      </w:r>
    </w:p>
    <w:p w14:paraId="57B002B3" w14:textId="6A05FAFA" w:rsidR="004D1A56" w:rsidRDefault="004D1A56" w:rsidP="009A44BE">
      <w:pPr>
        <w:pStyle w:val="SingleTxtG"/>
      </w:pPr>
      <w:r>
        <w:t>4.5</w:t>
      </w:r>
      <w:r w:rsidR="00FB6C8C" w:rsidRPr="00827353">
        <w:tab/>
      </w:r>
      <w:r>
        <w:t xml:space="preserve">The </w:t>
      </w:r>
      <w:r w:rsidRPr="004D1A56">
        <w:t xml:space="preserve">author </w:t>
      </w:r>
      <w:r w:rsidR="00536436">
        <w:t xml:space="preserve">has </w:t>
      </w:r>
      <w:r w:rsidRPr="004D1A56">
        <w:t>failed to state his previous asylum grounds in his complaint to the Committee</w:t>
      </w:r>
      <w:r>
        <w:t xml:space="preserve">, referring </w:t>
      </w:r>
      <w:r w:rsidRPr="004D1A56">
        <w:t>merely to his alleged conversion from Islam to Christianity.</w:t>
      </w:r>
      <w:r>
        <w:t xml:space="preserve"> </w:t>
      </w:r>
      <w:r w:rsidR="00536436">
        <w:t>As rightly observed by</w:t>
      </w:r>
      <w:r w:rsidRPr="004D1A56">
        <w:t xml:space="preserve"> the Refug</w:t>
      </w:r>
      <w:r w:rsidR="00536436">
        <w:t>ee Appeals Board –</w:t>
      </w:r>
      <w:r w:rsidRPr="004D1A56">
        <w:t xml:space="preserve"> based on </w:t>
      </w:r>
      <w:r w:rsidR="00135507">
        <w:t xml:space="preserve">his previous </w:t>
      </w:r>
      <w:r w:rsidR="00536436">
        <w:t>asylum grounds –</w:t>
      </w:r>
      <w:r w:rsidRPr="004D1A56">
        <w:t xml:space="preserve"> the author has failed to render it probable that he will risk persecution justifying asylum in the event of his return to </w:t>
      </w:r>
      <w:r w:rsidR="00647391" w:rsidRPr="00647391">
        <w:t>the Islamic Republic of Iran</w:t>
      </w:r>
      <w:r w:rsidRPr="004D1A56">
        <w:t>.</w:t>
      </w:r>
      <w:r>
        <w:t xml:space="preserve"> </w:t>
      </w:r>
      <w:r w:rsidR="00135507">
        <w:t>I</w:t>
      </w:r>
      <w:r w:rsidRPr="004D1A56">
        <w:t>t</w:t>
      </w:r>
      <w:r w:rsidR="00135507">
        <w:t xml:space="preserve"> </w:t>
      </w:r>
      <w:r w:rsidRPr="004D1A56">
        <w:t>has been incumbent upon the author to leave Denmark voluntarily since 1999</w:t>
      </w:r>
      <w:r>
        <w:t xml:space="preserve">, </w:t>
      </w:r>
      <w:r w:rsidRPr="004D1A56">
        <w:t>except for a brief period in 2007 when the Refugee Appeals Board had extended the time limit for his departure. In practice, it has been possible for the author to return, but he has not been willing to meet his obligation to return</w:t>
      </w:r>
      <w:r w:rsidR="00E62774">
        <w:t xml:space="preserve"> voluntarily. During that</w:t>
      </w:r>
      <w:r w:rsidR="00536436">
        <w:t xml:space="preserve"> time</w:t>
      </w:r>
      <w:r w:rsidRPr="004D1A56">
        <w:t xml:space="preserve">, it </w:t>
      </w:r>
      <w:r w:rsidR="00536436">
        <w:t>was not</w:t>
      </w:r>
      <w:r w:rsidRPr="004D1A56">
        <w:t xml:space="preserve"> possible to forcibly return Iranian nationals to </w:t>
      </w:r>
      <w:r w:rsidR="00647391" w:rsidRPr="00647391">
        <w:t>the Islamic Republic of Iran</w:t>
      </w:r>
      <w:r w:rsidRPr="004D1A56">
        <w:t xml:space="preserve"> because the Iranian authorities </w:t>
      </w:r>
      <w:r w:rsidR="00536436">
        <w:t xml:space="preserve">were </w:t>
      </w:r>
      <w:r w:rsidRPr="004D1A56">
        <w:t xml:space="preserve">not willing to facilitate the entry into </w:t>
      </w:r>
      <w:r w:rsidR="00536436">
        <w:t>Iran of its own nationals who did</w:t>
      </w:r>
      <w:r w:rsidRPr="004D1A56">
        <w:t xml:space="preserve"> not wish to enter voluntarily. Thus, it rests exclusively with the author’s own situation that his stay in Denmark has extended over such a long </w:t>
      </w:r>
      <w:r w:rsidR="00536436">
        <w:t xml:space="preserve">period of </w:t>
      </w:r>
      <w:r w:rsidRPr="004D1A56">
        <w:t xml:space="preserve">time after the Refugee Appeals Board originally refused </w:t>
      </w:r>
      <w:r w:rsidR="00536436">
        <w:t xml:space="preserve">to grant him </w:t>
      </w:r>
      <w:r w:rsidRPr="004D1A56">
        <w:t>asylum.</w:t>
      </w:r>
    </w:p>
    <w:p w14:paraId="16646CF0" w14:textId="77777777" w:rsidR="00AE4BD7" w:rsidRDefault="00893512" w:rsidP="009A44BE">
      <w:pPr>
        <w:pStyle w:val="SingleTxtG"/>
      </w:pPr>
      <w:r w:rsidRPr="00827353">
        <w:t>4.</w:t>
      </w:r>
      <w:r w:rsidR="00D1010C">
        <w:t>6</w:t>
      </w:r>
      <w:r w:rsidR="00AE4BD7" w:rsidRPr="00827353">
        <w:tab/>
      </w:r>
      <w:r w:rsidR="00A733B9">
        <w:t>In its decision of 28 July 2014, the Board considered</w:t>
      </w:r>
      <w:r w:rsidR="005B1BC4">
        <w:t xml:space="preserve"> </w:t>
      </w:r>
      <w:r w:rsidR="004E6EB3" w:rsidRPr="00827353">
        <w:t>that the author had failed to</w:t>
      </w:r>
      <w:r w:rsidR="003E7C90" w:rsidRPr="00827353">
        <w:t xml:space="preserve"> establish</w:t>
      </w:r>
      <w:r w:rsidR="004E6EB3" w:rsidRPr="00827353">
        <w:t xml:space="preserve"> that his conversion to Christianity was genuine, despite </w:t>
      </w:r>
      <w:r w:rsidR="00766B67">
        <w:t>a</w:t>
      </w:r>
      <w:r w:rsidR="004E6EB3" w:rsidRPr="00827353">
        <w:t xml:space="preserve"> certificate of baptism.</w:t>
      </w:r>
      <w:r w:rsidR="00A733B9" w:rsidRPr="00A733B9">
        <w:t xml:space="preserve"> No information was produced on how and when the author’s interest in Christianity had arisen and how the author practices his faith. The Board further found it strange that the author only provided information on his baptism shortly before a planned return, </w:t>
      </w:r>
      <w:r w:rsidR="00A733B9">
        <w:t xml:space="preserve">while his </w:t>
      </w:r>
      <w:r w:rsidR="00A733B9" w:rsidRPr="00A733B9">
        <w:t>baptism took place in the autumn of 2012 and the certificate of baptism was dated 6 June 2013. The Board therefore could not accept as a fact that the author</w:t>
      </w:r>
      <w:r w:rsidR="00A733B9">
        <w:t xml:space="preserve">’s conversion </w:t>
      </w:r>
      <w:r w:rsidR="00A733B9" w:rsidRPr="00A733B9">
        <w:t>from Islam to Christianity</w:t>
      </w:r>
      <w:r w:rsidR="00A733B9">
        <w:t xml:space="preserve"> was genuine</w:t>
      </w:r>
      <w:r w:rsidR="00A733B9" w:rsidRPr="00A733B9">
        <w:t>.</w:t>
      </w:r>
      <w:r w:rsidR="003826A1">
        <w:t xml:space="preserve"> </w:t>
      </w:r>
      <w:r w:rsidR="00A31CEC">
        <w:t>A</w:t>
      </w:r>
      <w:r w:rsidR="003826A1">
        <w:t>ny</w:t>
      </w:r>
      <w:r w:rsidR="00A733B9">
        <w:t xml:space="preserve"> asylum </w:t>
      </w:r>
      <w:r w:rsidR="003826A1" w:rsidRPr="003826A1">
        <w:t xml:space="preserve">seeker </w:t>
      </w:r>
      <w:r w:rsidR="00A31CEC">
        <w:t xml:space="preserve">has the duty </w:t>
      </w:r>
      <w:r w:rsidR="003826A1" w:rsidRPr="003826A1">
        <w:t>to substantiate that the conditi</w:t>
      </w:r>
      <w:r w:rsidR="003826A1">
        <w:t>ons for grant of asylum are met</w:t>
      </w:r>
      <w:r w:rsidR="00A733B9">
        <w:t>.</w:t>
      </w:r>
      <w:r w:rsidR="003826A1">
        <w:t xml:space="preserve"> </w:t>
      </w:r>
      <w:r w:rsidR="00A733B9">
        <w:t>T</w:t>
      </w:r>
      <w:r w:rsidR="003826A1" w:rsidRPr="003826A1">
        <w:t>he author’s only state</w:t>
      </w:r>
      <w:r w:rsidR="003826A1">
        <w:t xml:space="preserve">ment </w:t>
      </w:r>
      <w:r w:rsidR="00A733B9">
        <w:t xml:space="preserve">was that he converted and that he had been </w:t>
      </w:r>
      <w:r w:rsidR="003826A1">
        <w:t>baptised</w:t>
      </w:r>
      <w:r w:rsidR="003826A1" w:rsidRPr="003826A1">
        <w:t>.</w:t>
      </w:r>
      <w:r w:rsidR="003826A1">
        <w:t xml:space="preserve"> </w:t>
      </w:r>
      <w:r w:rsidR="00A733B9">
        <w:t xml:space="preserve">He had not </w:t>
      </w:r>
      <w:r w:rsidR="003826A1" w:rsidRPr="003826A1">
        <w:t xml:space="preserve">elaborated on </w:t>
      </w:r>
      <w:r w:rsidR="00A733B9">
        <w:t>whatever</w:t>
      </w:r>
      <w:r w:rsidR="003826A1" w:rsidRPr="003826A1">
        <w:t xml:space="preserve"> circumstances </w:t>
      </w:r>
      <w:r w:rsidR="00A733B9">
        <w:t xml:space="preserve">linked to </w:t>
      </w:r>
      <w:r w:rsidR="003826A1" w:rsidRPr="003826A1">
        <w:t>his conversion</w:t>
      </w:r>
      <w:r w:rsidR="00A733B9">
        <w:t>,</w:t>
      </w:r>
      <w:r w:rsidR="003826A1" w:rsidRPr="003826A1">
        <w:t xml:space="preserve"> neither before the Refugee Appeals Board nor to the Committee.</w:t>
      </w:r>
    </w:p>
    <w:p w14:paraId="25B3F9D9" w14:textId="239FF2CE" w:rsidR="005B1BC4" w:rsidRDefault="00D1010C" w:rsidP="005671F1">
      <w:pPr>
        <w:pStyle w:val="SingleTxtG"/>
      </w:pPr>
      <w:r>
        <w:t>4.7</w:t>
      </w:r>
      <w:r w:rsidR="005671F1">
        <w:tab/>
        <w:t>Moreover, the author relied on this new asylum ground only when he requested the reopening of his case on 27 May 2014, even if he w</w:t>
      </w:r>
      <w:r w:rsidR="00F07920">
        <w:t>as baptised on 23 November 2012, that is,</w:t>
      </w:r>
      <w:r w:rsidR="005671F1">
        <w:t xml:space="preserve"> </w:t>
      </w:r>
      <w:r w:rsidR="005671F1" w:rsidRPr="005671F1">
        <w:t>one and a half years after his baptism</w:t>
      </w:r>
      <w:r w:rsidR="00F07920">
        <w:t xml:space="preserve"> and</w:t>
      </w:r>
      <w:r w:rsidR="005671F1" w:rsidRPr="005671F1">
        <w:t xml:space="preserve"> shortly before a planned </w:t>
      </w:r>
      <w:r w:rsidR="005671F1">
        <w:t xml:space="preserve">deportation </w:t>
      </w:r>
      <w:r w:rsidR="005671F1" w:rsidRPr="005671F1">
        <w:t>from Denmark.</w:t>
      </w:r>
      <w:r w:rsidR="005671F1">
        <w:t xml:space="preserve"> It also appears </w:t>
      </w:r>
      <w:r w:rsidR="005671F1" w:rsidRPr="005671F1">
        <w:t xml:space="preserve">from </w:t>
      </w:r>
      <w:r w:rsidR="008A7E13">
        <w:t xml:space="preserve">the </w:t>
      </w:r>
      <w:r w:rsidR="005671F1" w:rsidRPr="005671F1">
        <w:t>information provided by the author that the document confirming his baptism was not issued until 6 June 2013</w:t>
      </w:r>
      <w:r w:rsidR="005671F1">
        <w:t xml:space="preserve">, that is, </w:t>
      </w:r>
      <w:r w:rsidR="005671F1" w:rsidRPr="005671F1">
        <w:t>six months after his baptism.</w:t>
      </w:r>
      <w:r w:rsidR="005671F1">
        <w:t xml:space="preserve"> Thus, taking into account the author’s conduct, including the fact that</w:t>
      </w:r>
      <w:r w:rsidR="00F439C1">
        <w:t xml:space="preserve"> he has relied on new asylum grounds</w:t>
      </w:r>
      <w:r w:rsidR="005671F1">
        <w:t xml:space="preserve"> on an ongoing basis </w:t>
      </w:r>
      <w:r w:rsidR="00F439C1">
        <w:t xml:space="preserve">since 1998 – grounds which </w:t>
      </w:r>
      <w:r w:rsidR="005671F1">
        <w:t>have been refus</w:t>
      </w:r>
      <w:r w:rsidR="00F439C1">
        <w:t>ed by the Refugee Appeals Board –</w:t>
      </w:r>
      <w:r w:rsidR="005671F1">
        <w:t xml:space="preserve"> and that he has consistently refused to comply with the Danish authorities’</w:t>
      </w:r>
      <w:r w:rsidR="00F439C1">
        <w:t xml:space="preserve"> </w:t>
      </w:r>
      <w:r w:rsidR="005671F1">
        <w:t xml:space="preserve">decision to leave </w:t>
      </w:r>
      <w:r w:rsidR="00F439C1">
        <w:t>the cou</w:t>
      </w:r>
      <w:r w:rsidR="00F07920">
        <w:t>ntry,</w:t>
      </w:r>
      <w:r w:rsidR="005671F1">
        <w:t xml:space="preserve"> the author has been </w:t>
      </w:r>
      <w:r w:rsidR="00F439C1">
        <w:t xml:space="preserve">well aware </w:t>
      </w:r>
      <w:r w:rsidR="005671F1">
        <w:t>of the possible significance of conversion from Islam to Christianity to his asylum case</w:t>
      </w:r>
      <w:r w:rsidR="008A7E13">
        <w:t xml:space="preserve">. Thus, his </w:t>
      </w:r>
      <w:r w:rsidR="005671F1">
        <w:t>conversion fails to express a genuine and deep conviction.</w:t>
      </w:r>
    </w:p>
    <w:p w14:paraId="0484B854" w14:textId="77777777" w:rsidR="003843C0" w:rsidRDefault="00D1010C" w:rsidP="003843C0">
      <w:pPr>
        <w:pStyle w:val="SingleTxtG"/>
      </w:pPr>
      <w:r>
        <w:t>4.8</w:t>
      </w:r>
      <w:r w:rsidR="0048147C">
        <w:tab/>
      </w:r>
      <w:r w:rsidR="00F07920">
        <w:t>P</w:t>
      </w:r>
      <w:r w:rsidR="003843C0" w:rsidRPr="003843C0">
        <w:t>ublic debate in Denm</w:t>
      </w:r>
      <w:r w:rsidR="003A4616">
        <w:t xml:space="preserve">ark in general and among asylum </w:t>
      </w:r>
      <w:r w:rsidR="003843C0" w:rsidRPr="003843C0">
        <w:t>seekers in particular has focused considerably on the significance of conversion, typically from Islam to Christianity, for the outcome of an asylum case. It is therefore common knowledge among asylum</w:t>
      </w:r>
      <w:r w:rsidR="003A4616">
        <w:t xml:space="preserve"> </w:t>
      </w:r>
      <w:r w:rsidR="003843C0" w:rsidRPr="003843C0">
        <w:t>seekers and other parties within the field of asylum that information on conversion is a ground for asylum, but the issue must be assessed on a case-by-case basis</w:t>
      </w:r>
      <w:r w:rsidR="003843C0">
        <w:t>.</w:t>
      </w:r>
      <w:r w:rsidR="003843C0" w:rsidRPr="003843C0">
        <w:t xml:space="preserve"> The</w:t>
      </w:r>
      <w:r w:rsidR="003843C0">
        <w:t xml:space="preserve"> Refugee Appeals Board</w:t>
      </w:r>
      <w:r w:rsidR="003843C0" w:rsidRPr="003843C0">
        <w:t xml:space="preserve"> </w:t>
      </w:r>
      <w:r w:rsidR="003A4616">
        <w:t xml:space="preserve">has </w:t>
      </w:r>
      <w:r w:rsidR="003843C0" w:rsidRPr="003843C0">
        <w:t>granted asyl</w:t>
      </w:r>
      <w:r w:rsidR="003843C0">
        <w:t>um in many cases in which it</w:t>
      </w:r>
      <w:r w:rsidR="003843C0" w:rsidRPr="003843C0">
        <w:t xml:space="preserve"> </w:t>
      </w:r>
      <w:r w:rsidR="003A4616">
        <w:t>accepted that</w:t>
      </w:r>
      <w:r w:rsidR="003843C0" w:rsidRPr="003843C0">
        <w:t xml:space="preserve"> conversion </w:t>
      </w:r>
      <w:r w:rsidR="003A4616">
        <w:t xml:space="preserve">was genuine and that the asylum </w:t>
      </w:r>
      <w:r w:rsidR="003843C0" w:rsidRPr="003843C0">
        <w:t>seeker would practise his new faith on return to his country of origi</w:t>
      </w:r>
      <w:r w:rsidR="003843C0">
        <w:t>n and therefore would be at</w:t>
      </w:r>
      <w:r w:rsidR="003843C0" w:rsidRPr="003843C0">
        <w:t xml:space="preserve"> risk of persecution. </w:t>
      </w:r>
      <w:r w:rsidR="003843C0">
        <w:t>It did so not only when</w:t>
      </w:r>
      <w:r w:rsidR="003843C0" w:rsidRPr="003843C0">
        <w:t xml:space="preserve"> the asylum</w:t>
      </w:r>
      <w:r w:rsidR="003A4616">
        <w:t xml:space="preserve"> </w:t>
      </w:r>
      <w:r w:rsidR="003843C0" w:rsidRPr="003843C0">
        <w:t>seeker had converted before the Board made its decision</w:t>
      </w:r>
      <w:r w:rsidR="003843C0">
        <w:t>, but also when t</w:t>
      </w:r>
      <w:r w:rsidR="003843C0" w:rsidRPr="003843C0">
        <w:t xml:space="preserve">he conversion took place after the decision </w:t>
      </w:r>
      <w:r w:rsidR="003843C0">
        <w:t xml:space="preserve">was made – </w:t>
      </w:r>
      <w:r w:rsidR="003843C0" w:rsidRPr="003843C0">
        <w:t>where the Board found a basis for r</w:t>
      </w:r>
      <w:r w:rsidR="00726C98">
        <w:t>eopening the proceedings and</w:t>
      </w:r>
      <w:r w:rsidR="003843C0" w:rsidRPr="003843C0">
        <w:t xml:space="preserve"> granted residence based on a specific and individual assessment of the new information in each case.</w:t>
      </w:r>
      <w:r w:rsidR="008D2E82">
        <w:rPr>
          <w:rStyle w:val="FootnoteReference"/>
        </w:rPr>
        <w:footnoteReference w:id="17"/>
      </w:r>
    </w:p>
    <w:p w14:paraId="72A00E5B" w14:textId="77777777" w:rsidR="00F1350F" w:rsidRDefault="00D1010C" w:rsidP="00F1350F">
      <w:pPr>
        <w:pStyle w:val="SingleTxtG"/>
      </w:pPr>
      <w:r>
        <w:t>4.9</w:t>
      </w:r>
      <w:r w:rsidR="00F1350F">
        <w:tab/>
      </w:r>
      <w:r w:rsidR="003A4616">
        <w:t>P</w:t>
      </w:r>
      <w:r w:rsidR="00F1350F">
        <w:t>aragraph 36</w:t>
      </w:r>
      <w:r w:rsidR="00790D8D" w:rsidRPr="00827353">
        <w:t xml:space="preserve"> of the </w:t>
      </w:r>
      <w:r w:rsidR="00CE4FC7" w:rsidRPr="00827353">
        <w:t>UNHCR Guidelines on International Protection: Religion-Based Refugee Claims under Article 1A(2) of the 1951 Convention and/or the 1967 Protocol relating to the Status of Refugees</w:t>
      </w:r>
      <w:r w:rsidR="00790D8D" w:rsidRPr="00827353">
        <w:rPr>
          <w:i/>
          <w:iCs/>
        </w:rPr>
        <w:t xml:space="preserve"> </w:t>
      </w:r>
      <w:r w:rsidR="003A4616">
        <w:t>of 28 April 2004</w:t>
      </w:r>
      <w:r w:rsidR="00790D8D" w:rsidRPr="00827353">
        <w:t xml:space="preserve"> states, </w:t>
      </w:r>
      <w:r w:rsidR="00790D8D" w:rsidRPr="00827353">
        <w:rPr>
          <w:i/>
          <w:iCs/>
        </w:rPr>
        <w:t>inter alia</w:t>
      </w:r>
      <w:r w:rsidR="00790D8D" w:rsidRPr="00827353">
        <w:t>, that “[</w:t>
      </w:r>
      <w:r w:rsidR="00F1350F">
        <w:t>s]o-called ‘self-serving’ activities do not create a well-founded fear of persecution on a Convention ground in the claimant’s country of origin, if the opportunistic nature of such activities will be apparent to all, including the authorities there, and serious adverse consequences would not result if the person were returned.</w:t>
      </w:r>
      <w:r w:rsidR="00790D8D" w:rsidRPr="00827353">
        <w:t>”</w:t>
      </w:r>
      <w:r w:rsidR="00643A11">
        <w:t xml:space="preserve"> </w:t>
      </w:r>
      <w:r w:rsidR="00FF7A51">
        <w:t>I</w:t>
      </w:r>
      <w:r w:rsidR="005604AB">
        <w:t>n</w:t>
      </w:r>
      <w:r w:rsidR="00643A11">
        <w:t xml:space="preserve"> </w:t>
      </w:r>
      <w:r w:rsidR="00643A11" w:rsidRPr="00643A11">
        <w:rPr>
          <w:i/>
        </w:rPr>
        <w:t>X v. Denmark</w:t>
      </w:r>
      <w:r w:rsidR="00643A11">
        <w:t xml:space="preserve">, </w:t>
      </w:r>
      <w:r w:rsidR="005604AB">
        <w:t xml:space="preserve">the Committee </w:t>
      </w:r>
      <w:r w:rsidR="00643A11">
        <w:t xml:space="preserve">observed that the author’s claim mainly relied on his </w:t>
      </w:r>
      <w:r w:rsidR="00DF395C">
        <w:t>“</w:t>
      </w:r>
      <w:r w:rsidR="00643A11">
        <w:t>mere membership o</w:t>
      </w:r>
      <w:r w:rsidR="005604AB">
        <w:t>f a particular Christian church</w:t>
      </w:r>
      <w:r w:rsidR="00DF395C">
        <w:t>”</w:t>
      </w:r>
      <w:r w:rsidR="005604AB">
        <w:t xml:space="preserve"> and thus considered that </w:t>
      </w:r>
      <w:r w:rsidR="005604AB" w:rsidRPr="005604AB">
        <w:t>the author’s claim</w:t>
      </w:r>
      <w:r w:rsidR="005604AB">
        <w:t>s under</w:t>
      </w:r>
      <w:r w:rsidR="005604AB" w:rsidRPr="005604AB">
        <w:t xml:space="preserve"> the Covenant </w:t>
      </w:r>
      <w:r w:rsidR="005604AB">
        <w:t xml:space="preserve">were </w:t>
      </w:r>
      <w:r w:rsidR="005604AB" w:rsidRPr="005604AB">
        <w:t>insufficiently substantiated for the purposes of admissibility</w:t>
      </w:r>
      <w:r w:rsidR="005604AB">
        <w:t>.</w:t>
      </w:r>
      <w:r w:rsidR="005604AB">
        <w:rPr>
          <w:rStyle w:val="FootnoteReference"/>
        </w:rPr>
        <w:footnoteReference w:id="18"/>
      </w:r>
      <w:r w:rsidR="002179E8">
        <w:t xml:space="preserve"> </w:t>
      </w:r>
      <w:r w:rsidR="00FF7A51">
        <w:t>The</w:t>
      </w:r>
      <w:r w:rsidR="002179E8">
        <w:t xml:space="preserve"> author in the present communication </w:t>
      </w:r>
      <w:r w:rsidR="002179E8" w:rsidRPr="002179E8">
        <w:t xml:space="preserve">has provided even less information about his alleged conversion than the author in </w:t>
      </w:r>
      <w:r w:rsidR="002179E8" w:rsidRPr="002179E8">
        <w:rPr>
          <w:i/>
        </w:rPr>
        <w:t>X v. Denmark</w:t>
      </w:r>
      <w:r w:rsidR="003A4616">
        <w:t xml:space="preserve"> –</w:t>
      </w:r>
      <w:r w:rsidR="002179E8" w:rsidRPr="002179E8">
        <w:t xml:space="preserve"> he has</w:t>
      </w:r>
      <w:r w:rsidR="00DF395C">
        <w:t xml:space="preserve"> only</w:t>
      </w:r>
      <w:r w:rsidR="002179E8" w:rsidRPr="002179E8">
        <w:t xml:space="preserve"> submitted a document confirming his baptism and has </w:t>
      </w:r>
      <w:r>
        <w:t xml:space="preserve">simply </w:t>
      </w:r>
      <w:r w:rsidR="002179E8" w:rsidRPr="002179E8">
        <w:t>stated that he has converted from Islam to Christianity.</w:t>
      </w:r>
      <w:r>
        <w:t xml:space="preserve"> </w:t>
      </w:r>
      <w:r w:rsidRPr="00D1010C">
        <w:rPr>
          <w:lang w:val="en-US"/>
        </w:rPr>
        <w:t xml:space="preserve">Therefore, </w:t>
      </w:r>
      <w:r w:rsidR="00545D89">
        <w:rPr>
          <w:lang w:val="en-US"/>
        </w:rPr>
        <w:t xml:space="preserve">the author </w:t>
      </w:r>
      <w:r>
        <w:rPr>
          <w:lang w:val="en-US"/>
        </w:rPr>
        <w:t>in the present communication</w:t>
      </w:r>
      <w:r w:rsidR="00545D89">
        <w:rPr>
          <w:lang w:val="en-US"/>
        </w:rPr>
        <w:t xml:space="preserve"> has failed to establish a </w:t>
      </w:r>
      <w:r w:rsidRPr="00D1010C">
        <w:rPr>
          <w:i/>
          <w:iCs/>
          <w:lang w:val="en-US"/>
        </w:rPr>
        <w:t xml:space="preserve">prima facie </w:t>
      </w:r>
      <w:r w:rsidRPr="00D1010C">
        <w:rPr>
          <w:lang w:val="en-US"/>
        </w:rPr>
        <w:t xml:space="preserve">case </w:t>
      </w:r>
      <w:r w:rsidR="00FF7A51">
        <w:rPr>
          <w:lang w:val="en-US"/>
        </w:rPr>
        <w:t>simply based on his</w:t>
      </w:r>
      <w:r w:rsidR="00545D89">
        <w:rPr>
          <w:lang w:val="en-US"/>
        </w:rPr>
        <w:t xml:space="preserve"> certificate of baptism</w:t>
      </w:r>
      <w:r w:rsidR="003A4616">
        <w:rPr>
          <w:lang w:val="en-US"/>
        </w:rPr>
        <w:t>.</w:t>
      </w:r>
      <w:r w:rsidR="00545D89">
        <w:rPr>
          <w:lang w:val="en-US"/>
        </w:rPr>
        <w:t xml:space="preserve"> </w:t>
      </w:r>
      <w:r w:rsidR="003A4616">
        <w:rPr>
          <w:lang w:val="en-US"/>
        </w:rPr>
        <w:t>H</w:t>
      </w:r>
      <w:r w:rsidR="00545D89">
        <w:rPr>
          <w:lang w:val="en-US"/>
        </w:rPr>
        <w:t>is</w:t>
      </w:r>
      <w:r w:rsidR="00F1350F" w:rsidRPr="003843C0">
        <w:t xml:space="preserve"> return to Iran will not constitute a violation of articles 6 or 7 of the Covenant</w:t>
      </w:r>
      <w:r>
        <w:t xml:space="preserve"> as a consequence of his alleged conversion to Christianity</w:t>
      </w:r>
      <w:r w:rsidR="00F1350F" w:rsidRPr="003843C0">
        <w:t>.</w:t>
      </w:r>
    </w:p>
    <w:p w14:paraId="0153C0D5" w14:textId="027A3DCA" w:rsidR="00FF7A51" w:rsidRPr="003843C0" w:rsidRDefault="00FF7A51" w:rsidP="00FF7A51">
      <w:pPr>
        <w:pStyle w:val="SingleTxtG"/>
      </w:pPr>
      <w:r>
        <w:t>4.10</w:t>
      </w:r>
      <w:r>
        <w:tab/>
      </w:r>
      <w:r w:rsidR="003B48EF">
        <w:t xml:space="preserve">As to </w:t>
      </w:r>
      <w:r>
        <w:t xml:space="preserve">the author’s claim that, on return, he will be arrested and questioned by the Iranian authorities </w:t>
      </w:r>
      <w:r w:rsidR="003A4616">
        <w:t xml:space="preserve">because </w:t>
      </w:r>
      <w:r>
        <w:t>he has been away for 15 years, the Refugee Appeals Board</w:t>
      </w:r>
      <w:r w:rsidR="003B48EF">
        <w:t xml:space="preserve"> has not found any </w:t>
      </w:r>
      <w:r>
        <w:t>risk of persecution or abuse.</w:t>
      </w:r>
      <w:r w:rsidR="003B48EF">
        <w:t xml:space="preserve"> T</w:t>
      </w:r>
      <w:r>
        <w:t xml:space="preserve">he author does not appear to have been profiled in any way </w:t>
      </w:r>
      <w:r w:rsidR="003B48EF">
        <w:t xml:space="preserve">by </w:t>
      </w:r>
      <w:r>
        <w:t xml:space="preserve">the Iranian authorities, and </w:t>
      </w:r>
      <w:r w:rsidR="003B48EF">
        <w:t xml:space="preserve">his </w:t>
      </w:r>
      <w:r>
        <w:t xml:space="preserve">claim that he allegedly risked being subjected to abuse in connection with his entry into </w:t>
      </w:r>
      <w:r w:rsidR="003F757F" w:rsidRPr="003F757F">
        <w:t>the Islamic Republic of Iran</w:t>
      </w:r>
      <w:r>
        <w:t xml:space="preserve"> appears to be completely unsubstantiated.</w:t>
      </w:r>
      <w:r w:rsidR="003B48EF">
        <w:t xml:space="preserve"> </w:t>
      </w:r>
      <w:r>
        <w:t xml:space="preserve">The circumstance that the author’s spouse has </w:t>
      </w:r>
      <w:r w:rsidR="00D033C5">
        <w:t xml:space="preserve">already </w:t>
      </w:r>
      <w:r>
        <w:t xml:space="preserve">been granted asylum in Denmark </w:t>
      </w:r>
      <w:r w:rsidR="00D033C5">
        <w:t xml:space="preserve">– </w:t>
      </w:r>
      <w:r>
        <w:t xml:space="preserve">and </w:t>
      </w:r>
      <w:r w:rsidR="003B48EF">
        <w:t>if he is returned to Iraq</w:t>
      </w:r>
      <w:r w:rsidR="00D033C5">
        <w:t>,</w:t>
      </w:r>
      <w:r w:rsidR="003B48EF">
        <w:t xml:space="preserve"> </w:t>
      </w:r>
      <w:r>
        <w:t xml:space="preserve">they cannot live together as a </w:t>
      </w:r>
      <w:r w:rsidR="003B48EF">
        <w:t>family</w:t>
      </w:r>
      <w:r>
        <w:t xml:space="preserve"> </w:t>
      </w:r>
      <w:r w:rsidR="00D033C5">
        <w:t xml:space="preserve">– </w:t>
      </w:r>
      <w:r>
        <w:t>cannot lead to a different assessment of his eligibility for asylum.</w:t>
      </w:r>
    </w:p>
    <w:p w14:paraId="051963F4" w14:textId="4A329470" w:rsidR="00146661" w:rsidRDefault="006561F4" w:rsidP="00CE7AC0">
      <w:pPr>
        <w:pStyle w:val="SingleTxtG"/>
      </w:pPr>
      <w:r>
        <w:t>4.11</w:t>
      </w:r>
      <w:r w:rsidR="004131E1" w:rsidRPr="00827353">
        <w:tab/>
      </w:r>
      <w:r w:rsidR="00672400" w:rsidRPr="00827353">
        <w:t>Regarding t</w:t>
      </w:r>
      <w:r w:rsidR="002C7687">
        <w:t xml:space="preserve">he author’s allegation that he did not benefit </w:t>
      </w:r>
      <w:r w:rsidR="008860B8">
        <w:t>from</w:t>
      </w:r>
      <w:r w:rsidR="002C7687">
        <w:t xml:space="preserve"> a new hearing in </w:t>
      </w:r>
      <w:r w:rsidR="00672400" w:rsidRPr="00827353">
        <w:t xml:space="preserve">violation of articles 2, 13 and 26 of the Covenant, </w:t>
      </w:r>
      <w:r w:rsidR="00163B25">
        <w:t xml:space="preserve">the State party first observes that </w:t>
      </w:r>
      <w:r w:rsidR="00CE7AC0">
        <w:t>a</w:t>
      </w:r>
      <w:r w:rsidR="00672400" w:rsidRPr="00827353">
        <w:t xml:space="preserve">rticle 13 does not confer a right to a court hearing. </w:t>
      </w:r>
      <w:r w:rsidR="003A4616">
        <w:t>I</w:t>
      </w:r>
      <w:r w:rsidR="00672400" w:rsidRPr="00827353">
        <w:t xml:space="preserve">n </w:t>
      </w:r>
      <w:r w:rsidR="00672400" w:rsidRPr="00827353">
        <w:rPr>
          <w:i/>
          <w:iCs/>
        </w:rPr>
        <w:t>Maroufidou v. Sweden</w:t>
      </w:r>
      <w:r w:rsidR="00672400" w:rsidRPr="00827353">
        <w:t>, the Committee did not dispute that a mere administrative “review” of the expulsion order in question was compatible with article 13.</w:t>
      </w:r>
      <w:r w:rsidR="00672400" w:rsidRPr="00827353">
        <w:rPr>
          <w:rStyle w:val="FootnoteReference"/>
        </w:rPr>
        <w:footnoteReference w:id="19"/>
      </w:r>
      <w:r w:rsidR="00672400" w:rsidRPr="00827353">
        <w:t xml:space="preserve"> </w:t>
      </w:r>
      <w:r w:rsidR="00093381">
        <w:t>W</w:t>
      </w:r>
      <w:r w:rsidR="00CE7AC0" w:rsidRPr="00CE7AC0">
        <w:t>hen the Refugee Appeals Board</w:t>
      </w:r>
      <w:r w:rsidR="003A4616">
        <w:t xml:space="preserve"> has decided a case, the asylum </w:t>
      </w:r>
      <w:r w:rsidR="00CE7AC0" w:rsidRPr="00CE7AC0">
        <w:t>seeker may request the Board to reopen the as</w:t>
      </w:r>
      <w:r w:rsidR="003A4616">
        <w:t xml:space="preserve">ylum proceedings. If the asylum </w:t>
      </w:r>
      <w:r w:rsidR="00CE7AC0" w:rsidRPr="00CE7AC0">
        <w:t>seeker claims that essential new information has come to light as compared with the information available when the Board made its original decision and that this new information may result in a different decision, the Board will make an assessment of whether this new information may give rise to the reopening of the proceedings for reconsideration of the case</w:t>
      </w:r>
      <w:r w:rsidR="007C10D0" w:rsidRPr="00827353">
        <w:t>.</w:t>
      </w:r>
      <w:r w:rsidR="00CE7AC0">
        <w:t xml:space="preserve"> In the author’s case, the Board assessed the credibility of th</w:t>
      </w:r>
      <w:r w:rsidR="00C12874">
        <w:t>e information on</w:t>
      </w:r>
      <w:r w:rsidR="00CE7AC0">
        <w:t xml:space="preserve"> conversion and found that no new information had been produced which could lead to a different decision</w:t>
      </w:r>
      <w:r w:rsidR="003A4616">
        <w:t>. Based</w:t>
      </w:r>
      <w:r w:rsidR="00CE7AC0">
        <w:t xml:space="preserve"> on the assessment of the new information produced by the author, it </w:t>
      </w:r>
      <w:r w:rsidR="003A4616">
        <w:t xml:space="preserve">considered </w:t>
      </w:r>
      <w:r w:rsidR="00CE7AC0">
        <w:t xml:space="preserve">that the author’s conversion was not genuine. </w:t>
      </w:r>
      <w:r w:rsidR="002732B1">
        <w:t>Therefore, i</w:t>
      </w:r>
      <w:r w:rsidR="00CE7AC0">
        <w:t xml:space="preserve">n the absence of </w:t>
      </w:r>
      <w:r w:rsidR="00CE7AC0" w:rsidRPr="00CE7AC0">
        <w:t xml:space="preserve">essential new information </w:t>
      </w:r>
      <w:r w:rsidR="00CE7AC0">
        <w:t xml:space="preserve">that </w:t>
      </w:r>
      <w:r w:rsidR="00CE7AC0" w:rsidRPr="00CE7AC0">
        <w:t>could lead to a different assessment of the author’s asylum case, there was no basis for reopening the asylum proceedings, including remitting the case to the Danish Immigration Service for reconsideration.</w:t>
      </w:r>
    </w:p>
    <w:p w14:paraId="3A1C4070" w14:textId="77777777" w:rsidR="00A079DF" w:rsidRPr="00827353" w:rsidRDefault="00CE7AC0" w:rsidP="00EC6F32">
      <w:pPr>
        <w:pStyle w:val="SingleTxtG"/>
      </w:pPr>
      <w:r>
        <w:t>4.12</w:t>
      </w:r>
      <w:r w:rsidR="00672400" w:rsidRPr="00827353">
        <w:tab/>
      </w:r>
      <w:r w:rsidR="00451E64">
        <w:t xml:space="preserve">Finally, </w:t>
      </w:r>
      <w:r w:rsidR="006A5E8F" w:rsidRPr="00827353">
        <w:t xml:space="preserve">the author has been treated no differently from any other person applying for asylum in terms of race, colour, sex, language, religion, political or other opinion, national or social origin, property, birth or other status. </w:t>
      </w:r>
      <w:r w:rsidR="00093381">
        <w:t xml:space="preserve">He </w:t>
      </w:r>
      <w:r w:rsidR="00EC6F32" w:rsidRPr="00EC6F32">
        <w:t xml:space="preserve">has not provided </w:t>
      </w:r>
      <w:r w:rsidR="00EC6F32">
        <w:t xml:space="preserve">any </w:t>
      </w:r>
      <w:r w:rsidR="00EC6F32" w:rsidRPr="00EC6F32">
        <w:t xml:space="preserve">evidence </w:t>
      </w:r>
      <w:r w:rsidR="00EC6F32">
        <w:t>to substantiate a violation of articles 2 and 26</w:t>
      </w:r>
      <w:r w:rsidR="00EC6F32" w:rsidRPr="00EC6F32">
        <w:t>. As regards the author’s submission that he has had no right to appeal t</w:t>
      </w:r>
      <w:r w:rsidR="00EC6F32">
        <w:t xml:space="preserve">o a Danish court, </w:t>
      </w:r>
      <w:r w:rsidR="00EC6F32" w:rsidRPr="00EC6F32">
        <w:t>i</w:t>
      </w:r>
      <w:r w:rsidR="002732B1">
        <w:t xml:space="preserve">t is not possible for an asylum </w:t>
      </w:r>
      <w:r w:rsidR="00EC6F32" w:rsidRPr="00EC6F32">
        <w:t>seeker in Denmark to appeal a decision on an asylum application to a Dan</w:t>
      </w:r>
      <w:r w:rsidR="00EC6F32">
        <w:t>ish court because</w:t>
      </w:r>
      <w:r w:rsidR="00EC6F32" w:rsidRPr="00EC6F32">
        <w:t xml:space="preserve"> the decisions of the R</w:t>
      </w:r>
      <w:r w:rsidR="00451E64">
        <w:t>efugee Appeals Board are final.</w:t>
      </w:r>
    </w:p>
    <w:p w14:paraId="68E0E1E2" w14:textId="77777777" w:rsidR="003521FD" w:rsidRPr="00827353" w:rsidRDefault="003521FD" w:rsidP="00B2295B">
      <w:pPr>
        <w:pStyle w:val="H23G"/>
      </w:pPr>
      <w:r w:rsidRPr="00827353">
        <w:tab/>
      </w:r>
      <w:r w:rsidRPr="00827353">
        <w:tab/>
      </w:r>
      <w:r w:rsidR="004B20C1" w:rsidRPr="00827353">
        <w:t>Author’</w:t>
      </w:r>
      <w:r w:rsidR="001D1A8A" w:rsidRPr="00827353">
        <w:t>s</w:t>
      </w:r>
      <w:r w:rsidR="004B20C1" w:rsidRPr="00827353">
        <w:t xml:space="preserve"> comments</w:t>
      </w:r>
      <w:r w:rsidR="00F3657C" w:rsidRPr="00827353">
        <w:t xml:space="preserve"> on the State p</w:t>
      </w:r>
      <w:r w:rsidRPr="00827353">
        <w:t>arty’s observations</w:t>
      </w:r>
      <w:r w:rsidR="00AD65AE">
        <w:t xml:space="preserve"> on admissibility and</w:t>
      </w:r>
      <w:r w:rsidR="00530B41" w:rsidRPr="00827353">
        <w:t xml:space="preserve"> merits</w:t>
      </w:r>
    </w:p>
    <w:p w14:paraId="164689D9" w14:textId="11757118" w:rsidR="00DD19A0" w:rsidRDefault="001D1A8A" w:rsidP="009A44BE">
      <w:pPr>
        <w:pStyle w:val="SingleTxtG"/>
      </w:pPr>
      <w:r w:rsidRPr="00827353">
        <w:t>5.1</w:t>
      </w:r>
      <w:r w:rsidRPr="00827353">
        <w:tab/>
        <w:t>In his</w:t>
      </w:r>
      <w:r w:rsidR="00093381">
        <w:t xml:space="preserve"> comments of 15 April 2016</w:t>
      </w:r>
      <w:r w:rsidR="00DD19A0" w:rsidRPr="00827353">
        <w:t xml:space="preserve">, the author </w:t>
      </w:r>
      <w:r w:rsidR="00FE47E8">
        <w:t xml:space="preserve">alleges a violation of </w:t>
      </w:r>
      <w:r w:rsidR="00093381">
        <w:t>a</w:t>
      </w:r>
      <w:r w:rsidR="00093381" w:rsidRPr="00093381">
        <w:t xml:space="preserve">rticles 2, </w:t>
      </w:r>
      <w:r w:rsidR="00093381">
        <w:t xml:space="preserve">6, 7, </w:t>
      </w:r>
      <w:r w:rsidR="00093381" w:rsidRPr="00093381">
        <w:t>13 and 26 of the Covenant</w:t>
      </w:r>
      <w:r w:rsidR="00DD19A0" w:rsidRPr="00827353">
        <w:t>.</w:t>
      </w:r>
      <w:r w:rsidR="00B0121F">
        <w:rPr>
          <w:rStyle w:val="FootnoteReference"/>
        </w:rPr>
        <w:footnoteReference w:id="20"/>
      </w:r>
      <w:r w:rsidR="00172917">
        <w:t xml:space="preserve"> After </w:t>
      </w:r>
      <w:r w:rsidR="00172917" w:rsidRPr="00172917">
        <w:t>the Special Rapporteur on new communications and interim measures decided not to issue a request for interim measures</w:t>
      </w:r>
      <w:r w:rsidR="00172917">
        <w:t xml:space="preserve">, the author was “deported and imprisoned in Iran,” but “is today still alive.” </w:t>
      </w:r>
      <w:r w:rsidR="003C4174" w:rsidRPr="00827353">
        <w:t xml:space="preserve">He </w:t>
      </w:r>
      <w:r w:rsidR="00172917">
        <w:t xml:space="preserve">then </w:t>
      </w:r>
      <w:r w:rsidR="002C5584">
        <w:t>welcomes a decision by the Euro</w:t>
      </w:r>
      <w:r w:rsidR="00FE47E8">
        <w:t>pean Court of Human Rights</w:t>
      </w:r>
      <w:r w:rsidR="002C5584">
        <w:t xml:space="preserve"> </w:t>
      </w:r>
      <w:r w:rsidR="00482672">
        <w:t xml:space="preserve">in </w:t>
      </w:r>
      <w:r w:rsidR="00482672" w:rsidRPr="00482672">
        <w:rPr>
          <w:i/>
        </w:rPr>
        <w:t>F.G. v. Sweden</w:t>
      </w:r>
      <w:r w:rsidR="00FE47E8">
        <w:t xml:space="preserve">, where it was made clear </w:t>
      </w:r>
      <w:r w:rsidR="002C5584">
        <w:t>that due to the absolute nature of the non-refoulement principl</w:t>
      </w:r>
      <w:r w:rsidR="00B0121F">
        <w:t>e, Member States cannot deny re</w:t>
      </w:r>
      <w:r w:rsidR="002C5584">
        <w:t xml:space="preserve">opening asylum cases when they are informed about a new </w:t>
      </w:r>
      <w:r w:rsidR="002C5584" w:rsidRPr="002C5584">
        <w:rPr>
          <w:i/>
        </w:rPr>
        <w:t>sur place</w:t>
      </w:r>
      <w:r w:rsidR="002C5584">
        <w:t xml:space="preserve"> motive</w:t>
      </w:r>
      <w:r w:rsidR="001D0C82" w:rsidRPr="00827353">
        <w:t>.</w:t>
      </w:r>
      <w:r w:rsidR="002C5584">
        <w:rPr>
          <w:rStyle w:val="FootnoteReference"/>
        </w:rPr>
        <w:footnoteReference w:id="21"/>
      </w:r>
      <w:r w:rsidR="00065A19">
        <w:t xml:space="preserve"> In </w:t>
      </w:r>
      <w:r w:rsidR="00065A19" w:rsidRPr="00065A19">
        <w:rPr>
          <w:i/>
        </w:rPr>
        <w:t>F.G.</w:t>
      </w:r>
      <w:r w:rsidR="00065A19">
        <w:t>, Sw</w:t>
      </w:r>
      <w:r w:rsidR="00B0121F">
        <w:t>edish authorities refused to re</w:t>
      </w:r>
      <w:r w:rsidR="00065A19">
        <w:t>open the applicant’s asylum case because there were no new relevant information, even though the applicant had informed the authorities that he converted to Christianity and thus feared persecution if returned to Iran. The Court found that</w:t>
      </w:r>
      <w:r w:rsidR="003B44AF">
        <w:t>,</w:t>
      </w:r>
      <w:r w:rsidR="00065A19">
        <w:t xml:space="preserve"> by ignoring this new information about his new asylum motive, Sweden violated article 3 of the European Convention on Human Rights. For the author, </w:t>
      </w:r>
      <w:r w:rsidR="00651558">
        <w:t xml:space="preserve">his situation is similar to that </w:t>
      </w:r>
      <w:r w:rsidR="00065A19">
        <w:t xml:space="preserve">of </w:t>
      </w:r>
      <w:r w:rsidR="00065A19" w:rsidRPr="00065A19">
        <w:rPr>
          <w:i/>
        </w:rPr>
        <w:t>F.G</w:t>
      </w:r>
      <w:r w:rsidR="00065A19" w:rsidRPr="00651558">
        <w:t>.</w:t>
      </w:r>
    </w:p>
    <w:p w14:paraId="2B230F24" w14:textId="77777777" w:rsidR="00BC1452" w:rsidRDefault="00CB36EB" w:rsidP="009A44BE">
      <w:pPr>
        <w:pStyle w:val="SingleTxtG"/>
      </w:pPr>
      <w:r>
        <w:t>5.2</w:t>
      </w:r>
      <w:r>
        <w:tab/>
        <w:t xml:space="preserve">The author then </w:t>
      </w:r>
      <w:r w:rsidR="00FE47E8">
        <w:t xml:space="preserve">insists </w:t>
      </w:r>
      <w:r w:rsidR="00BC1452">
        <w:t>that the decision of</w:t>
      </w:r>
      <w:r w:rsidR="00BC1452" w:rsidRPr="00BC1452">
        <w:t xml:space="preserve"> 28 July 2014 </w:t>
      </w:r>
      <w:r w:rsidR="00BC1452">
        <w:t xml:space="preserve">of the </w:t>
      </w:r>
      <w:r w:rsidR="00BC1452" w:rsidRPr="00BC1452">
        <w:t>Refugee Appeals Board</w:t>
      </w:r>
      <w:r w:rsidR="00BC1452">
        <w:t xml:space="preserve"> </w:t>
      </w:r>
      <w:r w:rsidR="00FE47E8">
        <w:t>w</w:t>
      </w:r>
      <w:r w:rsidR="00BC1452">
        <w:t xml:space="preserve">as not made by the five members of the Board, but was signed by </w:t>
      </w:r>
      <w:r>
        <w:t xml:space="preserve">a person </w:t>
      </w:r>
      <w:r w:rsidR="00BC1452">
        <w:t>who was part of the Board’s legal staff.</w:t>
      </w:r>
      <w:r w:rsidR="00BC29CC">
        <w:t xml:space="preserve"> The “draft decision” was reviewed by the Chairperson and accepted before it was transmitted to the author. Therefore, it was not the Board as such who made the decision to reject the author’s new </w:t>
      </w:r>
      <w:r w:rsidR="00BC29CC" w:rsidRPr="00BC29CC">
        <w:rPr>
          <w:i/>
        </w:rPr>
        <w:t>sur place</w:t>
      </w:r>
      <w:r w:rsidR="00BC29CC">
        <w:t xml:space="preserve"> motive.</w:t>
      </w:r>
      <w:r w:rsidR="00DF67B7">
        <w:t xml:space="preserve"> </w:t>
      </w:r>
      <w:r w:rsidR="00693273">
        <w:t>T</w:t>
      </w:r>
      <w:r w:rsidR="00DF67B7">
        <w:t xml:space="preserve">he author should have benefitted from a new </w:t>
      </w:r>
      <w:r w:rsidR="00C8244D">
        <w:t xml:space="preserve">oral </w:t>
      </w:r>
      <w:r w:rsidR="00DF67B7">
        <w:t>hearing which would have allowed him to explain his new faith and reply to questions from the five Board members before</w:t>
      </w:r>
      <w:r w:rsidR="00693273">
        <w:t xml:space="preserve"> they would have decided</w:t>
      </w:r>
      <w:r w:rsidR="002140A1">
        <w:t xml:space="preserve"> on his asylum request</w:t>
      </w:r>
      <w:r w:rsidR="00DF67B7">
        <w:t>.</w:t>
      </w:r>
    </w:p>
    <w:p w14:paraId="7B08B297" w14:textId="77777777" w:rsidR="00E43DDE" w:rsidRDefault="00E43DDE" w:rsidP="009A44BE">
      <w:pPr>
        <w:pStyle w:val="SingleTxtG"/>
      </w:pPr>
      <w:r>
        <w:t>5.3</w:t>
      </w:r>
      <w:r>
        <w:tab/>
        <w:t xml:space="preserve">The Board’s decision not to reopen proceedings is </w:t>
      </w:r>
      <w:r w:rsidR="00FC159A">
        <w:t xml:space="preserve">thus </w:t>
      </w:r>
      <w:r>
        <w:t xml:space="preserve">in violation of articles 6 and 7 of the Covenant. The </w:t>
      </w:r>
      <w:r w:rsidR="00300ECF">
        <w:t xml:space="preserve">author’s conversion </w:t>
      </w:r>
      <w:r w:rsidR="00FE47E8">
        <w:t>has</w:t>
      </w:r>
      <w:r w:rsidR="00300ECF">
        <w:t xml:space="preserve"> never </w:t>
      </w:r>
      <w:r w:rsidR="00FE47E8">
        <w:t xml:space="preserve">been </w:t>
      </w:r>
      <w:r w:rsidR="00300ECF">
        <w:t xml:space="preserve">examined by the Immigration Service, hence the Board’s decision on his </w:t>
      </w:r>
      <w:r w:rsidR="00300ECF" w:rsidRPr="00300ECF">
        <w:rPr>
          <w:i/>
        </w:rPr>
        <w:t>sur place</w:t>
      </w:r>
      <w:r w:rsidR="00300ECF">
        <w:t xml:space="preserve"> motive was not a decision on appeal, because the Board was the first and also the last domestic authority which decided on his right to</w:t>
      </w:r>
      <w:r w:rsidR="00FC159A">
        <w:t xml:space="preserve"> have his case reopened</w:t>
      </w:r>
      <w:r w:rsidR="00300ECF">
        <w:t>.</w:t>
      </w:r>
    </w:p>
    <w:p w14:paraId="17B834E2" w14:textId="0BDEE0D5" w:rsidR="00DD19A0" w:rsidRPr="00827353" w:rsidRDefault="002D2567" w:rsidP="009A44BE">
      <w:pPr>
        <w:pStyle w:val="SingleTxtG"/>
      </w:pPr>
      <w:r>
        <w:t>5.4</w:t>
      </w:r>
      <w:r w:rsidR="00E737E6" w:rsidRPr="00827353">
        <w:tab/>
      </w:r>
      <w:r w:rsidR="00B211C9">
        <w:t>The author’s right under article 13 of the Covenant has been violated because he has only been entitled to an administrative procedure</w:t>
      </w:r>
      <w:r w:rsidR="00FE47E8">
        <w:t xml:space="preserve">, without any </w:t>
      </w:r>
      <w:r>
        <w:t>possibility to appeal the Board’s decision</w:t>
      </w:r>
      <w:r w:rsidR="00B211C9">
        <w:t xml:space="preserve"> before the Danish courts</w:t>
      </w:r>
      <w:r>
        <w:t xml:space="preserve">. </w:t>
      </w:r>
      <w:r w:rsidR="008860B8">
        <w:t>Also, h</w:t>
      </w:r>
      <w:r w:rsidR="00F0571C">
        <w:t>e did not have a chance to argue his case in front of the Board’s five members. Moreover, s</w:t>
      </w:r>
      <w:r w:rsidRPr="002D2567">
        <w:t xml:space="preserve">ince all other decisions by any board under Danish law can be appealed </w:t>
      </w:r>
      <w:r w:rsidR="008860B8">
        <w:t>within</w:t>
      </w:r>
      <w:r w:rsidR="008860B8" w:rsidRPr="002D2567">
        <w:t xml:space="preserve"> </w:t>
      </w:r>
      <w:r w:rsidRPr="002D2567">
        <w:t xml:space="preserve">the Danish </w:t>
      </w:r>
      <w:r w:rsidR="008860B8">
        <w:t>judicial</w:t>
      </w:r>
      <w:r w:rsidR="008860B8" w:rsidRPr="002D2567">
        <w:t xml:space="preserve"> </w:t>
      </w:r>
      <w:r w:rsidRPr="002D2567">
        <w:t>system, the author has been subjected to discrimination under article</w:t>
      </w:r>
      <w:r w:rsidR="006001E7">
        <w:t>s 2 and</w:t>
      </w:r>
      <w:r w:rsidRPr="002D2567">
        <w:t xml:space="preserve"> 26 of the Cov</w:t>
      </w:r>
      <w:r>
        <w:t>enant. According to</w:t>
      </w:r>
      <w:r w:rsidRPr="002D2567">
        <w:t xml:space="preserve"> section 63 of the Constitution of Denmark</w:t>
      </w:r>
      <w:r>
        <w:t xml:space="preserve">, all administrative decisions – including Board decisions – </w:t>
      </w:r>
      <w:r w:rsidRPr="002D2567">
        <w:t>can be appealed before the courts.</w:t>
      </w:r>
    </w:p>
    <w:p w14:paraId="10D1767B" w14:textId="77777777" w:rsidR="00291018" w:rsidRPr="00827353" w:rsidRDefault="00A44F7C" w:rsidP="009A44BE">
      <w:pPr>
        <w:pStyle w:val="SingleTxtG"/>
      </w:pPr>
      <w:r w:rsidRPr="00827353">
        <w:t>5.5</w:t>
      </w:r>
      <w:r w:rsidRPr="00827353">
        <w:tab/>
      </w:r>
      <w:r w:rsidR="006001E7">
        <w:t>Finally, t</w:t>
      </w:r>
      <w:r w:rsidR="006D1187" w:rsidRPr="00827353">
        <w:t>he</w:t>
      </w:r>
      <w:r w:rsidR="00482879" w:rsidRPr="00827353">
        <w:t xml:space="preserve"> author</w:t>
      </w:r>
      <w:r w:rsidR="006D1187" w:rsidRPr="00827353">
        <w:t xml:space="preserve"> </w:t>
      </w:r>
      <w:r w:rsidR="006001E7">
        <w:t xml:space="preserve">refers to </w:t>
      </w:r>
      <w:r w:rsidR="00482879" w:rsidRPr="00827353">
        <w:t>a number of cases before the Committee wher</w:t>
      </w:r>
      <w:r w:rsidR="00B0121F">
        <w:t>e the State party decided to re</w:t>
      </w:r>
      <w:r w:rsidR="00482879" w:rsidRPr="00827353">
        <w:t xml:space="preserve">open the case </w:t>
      </w:r>
      <w:r w:rsidR="006001E7">
        <w:t>and granted asylum,</w:t>
      </w:r>
      <w:r w:rsidR="00482879" w:rsidRPr="00827353">
        <w:rPr>
          <w:rStyle w:val="FootnoteReference"/>
        </w:rPr>
        <w:footnoteReference w:id="22"/>
      </w:r>
      <w:r w:rsidR="006001E7">
        <w:t xml:space="preserve"> and concludes that </w:t>
      </w:r>
      <w:r w:rsidR="005315A4">
        <w:t>the Board’s decision of 28 July</w:t>
      </w:r>
      <w:r w:rsidR="00031336" w:rsidRPr="00827353">
        <w:t xml:space="preserve"> 2014 is manifestly unreasonable and arbitrary.</w:t>
      </w:r>
    </w:p>
    <w:p w14:paraId="4EBAFEE3" w14:textId="77777777" w:rsidR="00DD19A0" w:rsidRPr="00827353" w:rsidRDefault="00DD19A0" w:rsidP="00B2295B">
      <w:pPr>
        <w:pStyle w:val="H23G"/>
      </w:pPr>
      <w:r w:rsidRPr="00827353">
        <w:tab/>
      </w:r>
      <w:r w:rsidRPr="00827353">
        <w:tab/>
      </w:r>
      <w:r w:rsidR="00225171" w:rsidRPr="00827353">
        <w:t xml:space="preserve">Additional </w:t>
      </w:r>
      <w:r w:rsidRPr="00827353">
        <w:t xml:space="preserve">submission </w:t>
      </w:r>
      <w:r w:rsidR="00225171" w:rsidRPr="00827353">
        <w:t>from</w:t>
      </w:r>
      <w:r w:rsidRPr="00827353">
        <w:t xml:space="preserve"> the State party</w:t>
      </w:r>
    </w:p>
    <w:p w14:paraId="76D118C3" w14:textId="57E8E46C" w:rsidR="002C5598" w:rsidRDefault="00DD19A0" w:rsidP="002C5598">
      <w:pPr>
        <w:pStyle w:val="SingleTxtG"/>
      </w:pPr>
      <w:r w:rsidRPr="00827353">
        <w:t>6.1</w:t>
      </w:r>
      <w:r w:rsidRPr="00827353">
        <w:tab/>
      </w:r>
      <w:r w:rsidR="00172917">
        <w:t>On 2 September 2016</w:t>
      </w:r>
      <w:r w:rsidR="00DB2919" w:rsidRPr="00827353">
        <w:t>, the State party provided furthe</w:t>
      </w:r>
      <w:r w:rsidR="002C5598">
        <w:t>r observations to the Committee.</w:t>
      </w:r>
      <w:r w:rsidR="002C5598" w:rsidRPr="002C5598">
        <w:t xml:space="preserve"> </w:t>
      </w:r>
      <w:r w:rsidR="002C5598">
        <w:t xml:space="preserve">It first observes that the author claimed that he had been imprisoned in </w:t>
      </w:r>
      <w:r w:rsidR="003F757F" w:rsidRPr="003F757F">
        <w:t xml:space="preserve">the Islamic Republic of </w:t>
      </w:r>
      <w:r w:rsidR="002C5598">
        <w:t>Iran</w:t>
      </w:r>
      <w:r w:rsidR="00FE47E8">
        <w:t xml:space="preserve"> after his deportation</w:t>
      </w:r>
      <w:r w:rsidR="002C5598">
        <w:t xml:space="preserve">, but that this information appears to be entirely unsubstantiated in the absence of </w:t>
      </w:r>
      <w:r w:rsidR="00C054BE">
        <w:t xml:space="preserve">any </w:t>
      </w:r>
      <w:r w:rsidR="002C5598">
        <w:t>additional information on the time of the alleged imprisonment or any other details of such circumstances. Therefore, the State party finds no reason to consider this matter.</w:t>
      </w:r>
    </w:p>
    <w:p w14:paraId="4EAFE9EC" w14:textId="3D578C01" w:rsidR="002C5598" w:rsidRDefault="002C5598" w:rsidP="002C5598">
      <w:pPr>
        <w:pStyle w:val="SingleTxtG"/>
      </w:pPr>
      <w:r>
        <w:t>6.2</w:t>
      </w:r>
      <w:r>
        <w:tab/>
      </w:r>
      <w:r w:rsidR="00C054BE">
        <w:t xml:space="preserve">The State party </w:t>
      </w:r>
      <w:r w:rsidR="008860B8">
        <w:t>reiterates</w:t>
      </w:r>
      <w:r w:rsidR="00C054BE">
        <w:t xml:space="preserve"> that the author has not submitted </w:t>
      </w:r>
      <w:r w:rsidR="00C054BE" w:rsidRPr="00C054BE">
        <w:t>any new information on hi</w:t>
      </w:r>
      <w:r w:rsidR="00C054BE">
        <w:t xml:space="preserve">s personal situation. </w:t>
      </w:r>
      <w:r w:rsidR="00C054BE" w:rsidRPr="00C054BE">
        <w:t xml:space="preserve">In its decision of 28 July 2014, the Refugee Appeals Board could not consider as a fact that the </w:t>
      </w:r>
      <w:r w:rsidR="00C054BE">
        <w:t xml:space="preserve">author’s conversion was genuine. The </w:t>
      </w:r>
      <w:r w:rsidR="00C054BE" w:rsidRPr="00C054BE">
        <w:t>Board found that the conversion reflected grounds for asylum that had been fabricated for the occasion.</w:t>
      </w:r>
      <w:r w:rsidR="00C054BE">
        <w:t xml:space="preserve"> In its decision, the Board </w:t>
      </w:r>
      <w:r w:rsidR="00C054BE" w:rsidRPr="00C054BE">
        <w:t xml:space="preserve">made a specific and individual assessment of the information available on the author’s alleged conversion and exposure, including the information provided by the author on his conversion, and took into account </w:t>
      </w:r>
      <w:r w:rsidR="00C054BE">
        <w:t>the</w:t>
      </w:r>
      <w:r w:rsidR="00C054BE" w:rsidRPr="00C054BE">
        <w:t xml:space="preserve"> certificate confirming his baptism</w:t>
      </w:r>
      <w:r w:rsidR="00C054BE">
        <w:t>.</w:t>
      </w:r>
      <w:r w:rsidR="007E16E4">
        <w:t xml:space="preserve"> However, </w:t>
      </w:r>
      <w:r w:rsidR="007E16E4" w:rsidRPr="007E16E4">
        <w:t>the circumstance that a person claiming to have converted has been baptised does not independently render it probable that such person has in actual fact converted. The Refugee Appeals Board makes an overall assessment of all the circumstances of a case when a person claims to have converted.</w:t>
      </w:r>
      <w:r w:rsidR="00A95B85">
        <w:rPr>
          <w:rStyle w:val="FootnoteReference"/>
        </w:rPr>
        <w:footnoteReference w:id="23"/>
      </w:r>
    </w:p>
    <w:p w14:paraId="4DADF0F4" w14:textId="55519F69" w:rsidR="00A95B85" w:rsidRDefault="00195B8A" w:rsidP="002C5598">
      <w:pPr>
        <w:pStyle w:val="SingleTxtG"/>
      </w:pPr>
      <w:r>
        <w:t>6.3</w:t>
      </w:r>
      <w:r>
        <w:tab/>
        <w:t>The</w:t>
      </w:r>
      <w:r w:rsidR="00A95B85">
        <w:t xml:space="preserve"> reference to the European Court’s judgment in </w:t>
      </w:r>
      <w:r w:rsidR="00A95B85" w:rsidRPr="00A95B85">
        <w:rPr>
          <w:i/>
        </w:rPr>
        <w:t>F.G. v. Sweden</w:t>
      </w:r>
      <w:r w:rsidR="00A95B85">
        <w:t xml:space="preserve"> </w:t>
      </w:r>
      <w:r w:rsidR="00A95B85" w:rsidRPr="00A95B85">
        <w:t>cannot lead to a different assessment</w:t>
      </w:r>
      <w:r w:rsidR="00A95B85">
        <w:t xml:space="preserve"> because the author did </w:t>
      </w:r>
      <w:r w:rsidR="00A95B85" w:rsidRPr="00A95B85">
        <w:t xml:space="preserve">not </w:t>
      </w:r>
      <w:r w:rsidR="00A95B85">
        <w:t xml:space="preserve">render it probable that </w:t>
      </w:r>
      <w:r w:rsidR="00A95B85" w:rsidRPr="00A95B85">
        <w:t xml:space="preserve">he </w:t>
      </w:r>
      <w:r w:rsidR="00A95B85">
        <w:t>was risking</w:t>
      </w:r>
      <w:r w:rsidR="00A95B85" w:rsidRPr="00A95B85">
        <w:t xml:space="preserve"> persecution justifying asylu</w:t>
      </w:r>
      <w:r>
        <w:t>m in case of</w:t>
      </w:r>
      <w:r w:rsidR="00A95B85">
        <w:t xml:space="preserve"> return to </w:t>
      </w:r>
      <w:r w:rsidR="003F757F" w:rsidRPr="003F757F">
        <w:t xml:space="preserve">the Islamic Republic of </w:t>
      </w:r>
      <w:r w:rsidR="00A95B85">
        <w:t>Iran.</w:t>
      </w:r>
      <w:r w:rsidR="00A95B85" w:rsidRPr="00A95B85">
        <w:t xml:space="preserve"> </w:t>
      </w:r>
      <w:r w:rsidR="00A95B85">
        <w:t>T</w:t>
      </w:r>
      <w:r w:rsidR="00A95B85" w:rsidRPr="00A95B85">
        <w:t xml:space="preserve">he Refugee Appeals Board </w:t>
      </w:r>
      <w:r>
        <w:t xml:space="preserve">has not accepted </w:t>
      </w:r>
      <w:r w:rsidR="00451E64">
        <w:t xml:space="preserve">the author’s conversion </w:t>
      </w:r>
      <w:r>
        <w:t xml:space="preserve">as </w:t>
      </w:r>
      <w:r w:rsidR="00A95B85" w:rsidRPr="00A95B85">
        <w:t xml:space="preserve">a fact. </w:t>
      </w:r>
      <w:r>
        <w:t xml:space="preserve">Moreover, in its </w:t>
      </w:r>
      <w:r w:rsidR="00A95B85">
        <w:t xml:space="preserve">decision of </w:t>
      </w:r>
      <w:r w:rsidR="00A95B85" w:rsidRPr="00A95B85">
        <w:t>28 July 2014</w:t>
      </w:r>
      <w:r>
        <w:t>,</w:t>
      </w:r>
      <w:r w:rsidR="00A95B85" w:rsidRPr="00A95B85">
        <w:t xml:space="preserve"> the Board made an assessment of the consequences of the author’s alleged conversion in the event of his return to </w:t>
      </w:r>
      <w:r w:rsidR="003F757F" w:rsidRPr="003F757F">
        <w:t xml:space="preserve">the Islamic Republic of </w:t>
      </w:r>
      <w:r w:rsidR="00A95B85" w:rsidRPr="00A95B85">
        <w:t xml:space="preserve">Iran. </w:t>
      </w:r>
      <w:r>
        <w:t>And i</w:t>
      </w:r>
      <w:r w:rsidR="00A95B85">
        <w:t>n any event</w:t>
      </w:r>
      <w:r w:rsidR="00A95B85" w:rsidRPr="00A95B85">
        <w:t xml:space="preserve">, the </w:t>
      </w:r>
      <w:r w:rsidR="00A95B85">
        <w:t xml:space="preserve">European Court’s </w:t>
      </w:r>
      <w:r w:rsidR="00A95B85" w:rsidRPr="00A95B85">
        <w:t xml:space="preserve">reasoning in </w:t>
      </w:r>
      <w:r w:rsidR="00A95B85">
        <w:t xml:space="preserve">the case of </w:t>
      </w:r>
      <w:r w:rsidR="00A95B85" w:rsidRPr="00A95B85">
        <w:rPr>
          <w:i/>
        </w:rPr>
        <w:t>F.G.</w:t>
      </w:r>
      <w:r w:rsidR="00A95B85" w:rsidRPr="00A95B85">
        <w:t xml:space="preserve"> does not impose a general obligation on the Refugee Appeals Board to reopen asylum cases whenever </w:t>
      </w:r>
      <w:r w:rsidR="00A95B85">
        <w:t>it</w:t>
      </w:r>
      <w:r w:rsidR="00A95B85" w:rsidRPr="00A95B85">
        <w:t xml:space="preserve"> is made aware of a new </w:t>
      </w:r>
      <w:r w:rsidR="00A95B85" w:rsidRPr="00A95B85">
        <w:rPr>
          <w:i/>
        </w:rPr>
        <w:t>sur place</w:t>
      </w:r>
      <w:r w:rsidR="00A95B85" w:rsidRPr="00A95B85">
        <w:t xml:space="preserve"> claim.</w:t>
      </w:r>
    </w:p>
    <w:p w14:paraId="2501A1E6" w14:textId="77777777" w:rsidR="005A3695" w:rsidRDefault="0065497C" w:rsidP="005A3695">
      <w:pPr>
        <w:pStyle w:val="SingleTxtG"/>
      </w:pPr>
      <w:r>
        <w:t>6.4</w:t>
      </w:r>
      <w:r w:rsidR="005A3695">
        <w:tab/>
        <w:t>The power to decide on the reopening of an asylum case is vested in the chairman of the panel which originally decided the appeal when, according to the contents of the request for reopening, there is no reason to assume that the Refugee Appeals Board will change its decision.</w:t>
      </w:r>
      <w:r w:rsidR="005A3695">
        <w:rPr>
          <w:rStyle w:val="FootnoteReference"/>
        </w:rPr>
        <w:footnoteReference w:id="24"/>
      </w:r>
      <w:r w:rsidR="005A3695">
        <w:t xml:space="preserve"> The chairman must be a judge, who is also a member of the Executive Committee of the Board. The Secretariat of the Refugee Appeals Board assists the Executive Committee in drafting decisions, and after the chairman of the original hearing panel has made a decision, the decision is signed by an employee of the Secretar</w:t>
      </w:r>
      <w:r w:rsidR="00451E64">
        <w:t xml:space="preserve">iat and delivered to the asylum </w:t>
      </w:r>
      <w:r w:rsidR="005A3695">
        <w:t>seeker.</w:t>
      </w:r>
      <w:r w:rsidR="005A3695" w:rsidRPr="005A3695">
        <w:t xml:space="preserve"> Accordingly, </w:t>
      </w:r>
      <w:r w:rsidR="005A3695">
        <w:t>both formally and in practice</w:t>
      </w:r>
      <w:r w:rsidR="005A3695" w:rsidRPr="005A3695">
        <w:t>, decisions on reopening requests are always made by the chairman</w:t>
      </w:r>
      <w:r w:rsidR="005A3695">
        <w:t xml:space="preserve"> of the original hearing panel – </w:t>
      </w:r>
      <w:r w:rsidR="005A3695" w:rsidRPr="005A3695">
        <w:t>or</w:t>
      </w:r>
      <w:r w:rsidR="005A3695">
        <w:t>,</w:t>
      </w:r>
      <w:r w:rsidR="005A3695" w:rsidRPr="005A3695">
        <w:t xml:space="preserve"> in certain cases</w:t>
      </w:r>
      <w:r w:rsidR="005A3695">
        <w:t>,</w:t>
      </w:r>
      <w:r w:rsidR="005A3695" w:rsidRPr="005A3695">
        <w:t xml:space="preserve"> by the entire original hearing panel. The circumstance that a decision is signed by an employee of the Secretariat does not alter this fact. </w:t>
      </w:r>
      <w:r w:rsidR="005A3695">
        <w:t xml:space="preserve">The legislation on the consideration of requests for reopening of asylum cases is thus clear and leaves no doubt about the competence of the Refugee Appeals Board, and therefore there is no basis for claiming that decisions refusing requests for reopening are made by the Secretariat of the Refugee Appeals Board. Accordingly, it is not correct to assume – as submitted by the author – that ‘the issue of the new </w:t>
      </w:r>
      <w:r w:rsidR="005A3695" w:rsidRPr="005A3695">
        <w:rPr>
          <w:i/>
        </w:rPr>
        <w:t>sur place</w:t>
      </w:r>
      <w:r w:rsidR="005A3695">
        <w:t xml:space="preserve"> asylum motive is only handled by a staff member – not Board members – who acting ”on behalf of the Board” denies the request’.</w:t>
      </w:r>
    </w:p>
    <w:p w14:paraId="4AACC58D" w14:textId="77777777" w:rsidR="00817073" w:rsidRDefault="0065497C" w:rsidP="00EF23E4">
      <w:pPr>
        <w:pStyle w:val="SingleTxtG"/>
      </w:pPr>
      <w:r>
        <w:t>6.5</w:t>
      </w:r>
      <w:r w:rsidR="005A3695">
        <w:tab/>
      </w:r>
      <w:r w:rsidR="00EF23E4" w:rsidRPr="00EF23E4">
        <w:t>The Danish Refugee Appeals Board has reopened other cases when essential new information has come to light after the initial Board hearing. The author’s communication to the Committee has not brought to light any essential new information. The author has also not identified any similarities be</w:t>
      </w:r>
      <w:r w:rsidR="00EF23E4">
        <w:t xml:space="preserve">tween the cases that he cited </w:t>
      </w:r>
      <w:r w:rsidR="00EF23E4" w:rsidRPr="00EF23E4">
        <w:t>and his own case, nor has he pointed to any errors or omissions in the examination of his case or in the assessment of evidence by the Refugee Appeals Board.</w:t>
      </w:r>
    </w:p>
    <w:p w14:paraId="6123999F" w14:textId="77777777" w:rsidR="008610F6" w:rsidRDefault="0065497C" w:rsidP="00EF23E4">
      <w:pPr>
        <w:pStyle w:val="SingleTxtG"/>
      </w:pPr>
      <w:r>
        <w:t>6.6</w:t>
      </w:r>
      <w:r w:rsidR="008610F6">
        <w:tab/>
      </w:r>
      <w:r w:rsidR="008610F6" w:rsidRPr="003E6B95">
        <w:t xml:space="preserve">When rendering its decision, the Danish Refugee Appeals Board took into account all relevant information. </w:t>
      </w:r>
      <w:r w:rsidR="00C74807">
        <w:t xml:space="preserve">According to </w:t>
      </w:r>
      <w:r w:rsidR="008610F6" w:rsidRPr="003E6B95">
        <w:t>the Committee</w:t>
      </w:r>
      <w:r w:rsidR="008610F6">
        <w:t>’</w:t>
      </w:r>
      <w:r w:rsidR="008610F6" w:rsidRPr="003E6B95">
        <w:t>s established jurisprudence,</w:t>
      </w:r>
      <w:r w:rsidR="008610F6" w:rsidRPr="000767D8">
        <w:rPr>
          <w:rStyle w:val="FootnoteReference"/>
        </w:rPr>
        <w:footnoteReference w:id="25"/>
      </w:r>
      <w:r w:rsidR="008610F6" w:rsidRPr="003E6B95">
        <w:t xml:space="preserve"> considerable weight should be given to the assessment conducted by the State party, and it is generally for States parties to review and evaluate facts and evidence, unless it is found that the evaluation was clearly arbitrary or amounted to a denial of justice. In the present case, </w:t>
      </w:r>
      <w:r w:rsidR="0037345E">
        <w:t>the author is</w:t>
      </w:r>
      <w:r w:rsidR="0037345E" w:rsidRPr="0037345E">
        <w:t xml:space="preserve"> trying to use the Committee as an appellate body to have the factual circumstances advocated in support of </w:t>
      </w:r>
      <w:r w:rsidR="0037345E">
        <w:t>his</w:t>
      </w:r>
      <w:r w:rsidR="0037345E" w:rsidRPr="0037345E">
        <w:t xml:space="preserve"> claim for asy</w:t>
      </w:r>
      <w:r w:rsidR="0037345E">
        <w:t>lum reassessed by the Committee</w:t>
      </w:r>
      <w:r w:rsidR="008610F6" w:rsidRPr="003E6B95">
        <w:t>. The author has also failed to identify any irregularity in the decision-making process or any risk factors that the Board failed to take properly into account. Against this background, the return of the author to the Islamic Republic of Iran would not constitute a violation of article 6 or 7 of the Covenant.</w:t>
      </w:r>
    </w:p>
    <w:p w14:paraId="2DC95C14" w14:textId="77777777" w:rsidR="00612FA3" w:rsidRPr="00827353" w:rsidRDefault="003521FD" w:rsidP="00B2295B">
      <w:pPr>
        <w:pStyle w:val="H23G"/>
        <w:rPr>
          <w:i/>
        </w:rPr>
      </w:pPr>
      <w:r w:rsidRPr="00827353">
        <w:tab/>
      </w:r>
      <w:r w:rsidRPr="00827353">
        <w:tab/>
      </w:r>
      <w:r w:rsidRPr="00B2295B">
        <w:t>Issues</w:t>
      </w:r>
      <w:r w:rsidRPr="00827353">
        <w:t xml:space="preserve"> and proceedings before the Committee</w:t>
      </w:r>
    </w:p>
    <w:p w14:paraId="20DE33A6" w14:textId="77777777" w:rsidR="003521FD" w:rsidRPr="00827353" w:rsidRDefault="003521FD" w:rsidP="00B2295B">
      <w:pPr>
        <w:pStyle w:val="H4G"/>
      </w:pPr>
      <w:r w:rsidRPr="00827353">
        <w:tab/>
      </w:r>
      <w:r w:rsidRPr="00827353">
        <w:tab/>
        <w:t>Consideration of admissibility</w:t>
      </w:r>
    </w:p>
    <w:p w14:paraId="07702C9E" w14:textId="77777777" w:rsidR="003521FD" w:rsidRPr="00827353" w:rsidRDefault="006C24A5" w:rsidP="009A44BE">
      <w:pPr>
        <w:pStyle w:val="SingleTxtG"/>
      </w:pPr>
      <w:r w:rsidRPr="00827353">
        <w:t>7</w:t>
      </w:r>
      <w:r w:rsidR="000603D3" w:rsidRPr="00827353">
        <w:t>.1</w:t>
      </w:r>
      <w:r w:rsidR="003521FD" w:rsidRPr="00827353">
        <w:tab/>
        <w:t>Before considering any claims contained in a communication, the Committee must</w:t>
      </w:r>
      <w:r w:rsidR="00735856" w:rsidRPr="00827353">
        <w:t xml:space="preserve"> decide</w:t>
      </w:r>
      <w:r w:rsidR="003521FD" w:rsidRPr="00827353">
        <w:t xml:space="preserve">, in accordance with rule 93 of its rules of procedure, </w:t>
      </w:r>
      <w:r w:rsidR="00EA4A8A" w:rsidRPr="00827353">
        <w:t>whether</w:t>
      </w:r>
      <w:r w:rsidR="003521FD" w:rsidRPr="00827353">
        <w:t xml:space="preserve"> it is admissible under the Optional Protocol.</w:t>
      </w:r>
    </w:p>
    <w:p w14:paraId="756C5D8C" w14:textId="77777777" w:rsidR="00814FF3" w:rsidRPr="00827353" w:rsidRDefault="006C24A5" w:rsidP="009A44BE">
      <w:pPr>
        <w:pStyle w:val="SingleTxtG"/>
      </w:pPr>
      <w:r w:rsidRPr="00827353">
        <w:t>7</w:t>
      </w:r>
      <w:r w:rsidR="00814FF3" w:rsidRPr="00827353">
        <w:t>.2</w:t>
      </w:r>
      <w:r w:rsidR="00814FF3" w:rsidRPr="00827353">
        <w:tab/>
        <w:t xml:space="preserve">The Committee </w:t>
      </w:r>
      <w:r w:rsidR="00735856" w:rsidRPr="00827353">
        <w:t>has ascertained</w:t>
      </w:r>
      <w:r w:rsidR="00814FF3" w:rsidRPr="00827353">
        <w:t>, as required by article 5</w:t>
      </w:r>
      <w:r w:rsidR="00735856" w:rsidRPr="00827353">
        <w:t>(</w:t>
      </w:r>
      <w:r w:rsidR="00814FF3" w:rsidRPr="00827353">
        <w:t>2</w:t>
      </w:r>
      <w:r w:rsidR="00735856" w:rsidRPr="00827353">
        <w:t>)</w:t>
      </w:r>
      <w:r w:rsidR="00814FF3" w:rsidRPr="00827353">
        <w:t xml:space="preserve">(a) of the Optional Protocol, that the same matter is not being examined under another procedure of </w:t>
      </w:r>
      <w:r w:rsidR="00735856" w:rsidRPr="00827353">
        <w:t xml:space="preserve">international </w:t>
      </w:r>
      <w:r w:rsidR="00814FF3" w:rsidRPr="00827353">
        <w:t>investigation or settlement</w:t>
      </w:r>
      <w:r w:rsidR="000603D3" w:rsidRPr="00827353">
        <w:t>.</w:t>
      </w:r>
    </w:p>
    <w:p w14:paraId="594DADE2" w14:textId="77777777" w:rsidR="00814FF3" w:rsidRDefault="006C24A5" w:rsidP="009A44BE">
      <w:pPr>
        <w:pStyle w:val="SingleTxtG"/>
      </w:pPr>
      <w:r w:rsidRPr="00827353">
        <w:t>7</w:t>
      </w:r>
      <w:r w:rsidR="00814FF3" w:rsidRPr="00827353">
        <w:t>.3</w:t>
      </w:r>
      <w:r w:rsidR="00814FF3" w:rsidRPr="00827353">
        <w:tab/>
      </w:r>
      <w:r w:rsidR="0065497C" w:rsidRPr="0065497C">
        <w:t>The Committee notes the author</w:t>
      </w:r>
      <w:r w:rsidR="0065497C">
        <w:t>’s claim that he</w:t>
      </w:r>
      <w:r w:rsidR="0065497C" w:rsidRPr="0065497C">
        <w:t xml:space="preserve"> ha</w:t>
      </w:r>
      <w:r w:rsidR="0065497C">
        <w:t>s</w:t>
      </w:r>
      <w:r w:rsidR="0065497C" w:rsidRPr="0065497C">
        <w:t xml:space="preserve"> exhausted all effective </w:t>
      </w:r>
      <w:r w:rsidR="0065497C">
        <w:t>domestic remedies available to hi</w:t>
      </w:r>
      <w:r w:rsidR="0065497C" w:rsidRPr="0065497C">
        <w:t>m. In the absence of any objection by the State party in that connection, the Committee considers that it is not precluded from examining th</w:t>
      </w:r>
      <w:r w:rsidR="0065497C">
        <w:t>e communication under article 5(2)</w:t>
      </w:r>
      <w:r w:rsidR="0065497C" w:rsidRPr="0065497C">
        <w:t>(b) of the Optional Protocol.</w:t>
      </w:r>
    </w:p>
    <w:p w14:paraId="141491D8" w14:textId="1EACB422" w:rsidR="00C653DD" w:rsidRPr="00827353" w:rsidRDefault="00C653DD" w:rsidP="009A44BE">
      <w:pPr>
        <w:pStyle w:val="SingleTxtG"/>
      </w:pPr>
      <w:r>
        <w:t>7.4</w:t>
      </w:r>
      <w:r>
        <w:tab/>
      </w:r>
      <w:r w:rsidR="00DB256F">
        <w:t xml:space="preserve">The Committee takes note of </w:t>
      </w:r>
      <w:r w:rsidR="00DB256F" w:rsidRPr="00DB256F">
        <w:rPr>
          <w:lang w:val="en-US"/>
        </w:rPr>
        <w:t>the author’s claim that he suffered discrimination as an asylum seeker because the decisions of the Danish Refugee Appeals Board are the only decisions that become final without the possibility of being appealed against in courts, and that the State party has thus violated articles 2, 13, 14 and 26 of the Covenant. In that regard, the Committee refers to its jurisprudence that proceedings relating to the expulsion of aliens do not fall within the ambit of a determination of “rights and obligations in a suit at law” within the meaning of article 14, but are governed by article 13, of the Covenant.</w:t>
      </w:r>
      <w:r w:rsidR="00DB256F" w:rsidRPr="00DB256F">
        <w:rPr>
          <w:vertAlign w:val="superscript"/>
          <w:lang w:val="en-US"/>
        </w:rPr>
        <w:footnoteReference w:id="26"/>
      </w:r>
      <w:r w:rsidR="00DB256F" w:rsidRPr="00DB256F">
        <w:rPr>
          <w:lang w:val="en-US"/>
        </w:rPr>
        <w:t xml:space="preserve"> Article 13 of the Covenant offers some of the protection afforded under article 14 of the Covenant, but does not itself protect the right of appeal to judicial courts.</w:t>
      </w:r>
      <w:r w:rsidR="00DB256F" w:rsidRPr="00DB256F">
        <w:rPr>
          <w:vertAlign w:val="superscript"/>
          <w:lang w:val="en-US"/>
        </w:rPr>
        <w:footnoteReference w:id="27"/>
      </w:r>
      <w:r w:rsidR="00DB256F" w:rsidRPr="00DB256F">
        <w:rPr>
          <w:lang w:val="en-US"/>
        </w:rPr>
        <w:t xml:space="preserve"> The Committee considers that</w:t>
      </w:r>
      <w:r w:rsidR="00B22FB9">
        <w:rPr>
          <w:lang w:val="en-US"/>
        </w:rPr>
        <w:t xml:space="preserve"> this part of the communication</w:t>
      </w:r>
      <w:r w:rsidR="00DB256F" w:rsidRPr="00DB256F">
        <w:rPr>
          <w:lang w:val="en-US"/>
        </w:rPr>
        <w:t xml:space="preserve"> is insufficiently substantiated for the purposes of admissibility and declares </w:t>
      </w:r>
      <w:r w:rsidR="00B22FB9">
        <w:rPr>
          <w:lang w:val="en-US"/>
        </w:rPr>
        <w:t>it</w:t>
      </w:r>
      <w:r w:rsidR="00DB256F" w:rsidRPr="00DB256F">
        <w:rPr>
          <w:lang w:val="en-US"/>
        </w:rPr>
        <w:t xml:space="preserve"> inadmissible under article 2 of the Optional Protocol.</w:t>
      </w:r>
      <w:r w:rsidR="00DB256F">
        <w:rPr>
          <w:rStyle w:val="FootnoteReference"/>
          <w:lang w:val="en-US"/>
        </w:rPr>
        <w:footnoteReference w:id="28"/>
      </w:r>
    </w:p>
    <w:p w14:paraId="0CAFC8F0" w14:textId="0C9F9625" w:rsidR="00DB256F" w:rsidRPr="00DB256F" w:rsidRDefault="00DB256F" w:rsidP="00DB256F">
      <w:pPr>
        <w:pStyle w:val="SingleTxtG"/>
        <w:rPr>
          <w:rFonts w:eastAsia="SimSun"/>
        </w:rPr>
      </w:pPr>
      <w:r>
        <w:t>7.5</w:t>
      </w:r>
      <w:r>
        <w:tab/>
        <w:t>The Committee further notes the author’s claim that</w:t>
      </w:r>
      <w:r w:rsidRPr="00DB256F">
        <w:t xml:space="preserve"> </w:t>
      </w:r>
      <w:r>
        <w:t>t</w:t>
      </w:r>
      <w:r w:rsidRPr="00DB256F">
        <w:t>he Board’s decision not to reopen proceedings is in violation of articles 6 and 7 of the Covenant</w:t>
      </w:r>
      <w:r>
        <w:t xml:space="preserve"> (para</w:t>
      </w:r>
      <w:r w:rsidR="002C394A">
        <w:t>s</w:t>
      </w:r>
      <w:r>
        <w:t xml:space="preserve">. </w:t>
      </w:r>
      <w:r w:rsidR="00B22FB9">
        <w:t xml:space="preserve">5.2 and </w:t>
      </w:r>
      <w:r>
        <w:t>5.3)</w:t>
      </w:r>
      <w:r w:rsidR="00B22FB9">
        <w:t xml:space="preserve"> because the decision was adopted by the chairperson of the panel </w:t>
      </w:r>
      <w:r w:rsidR="00F618B8">
        <w:t xml:space="preserve">that considered the appeal </w:t>
      </w:r>
      <w:r w:rsidR="00B22FB9">
        <w:t>–</w:t>
      </w:r>
      <w:r w:rsidR="002C394A">
        <w:t xml:space="preserve"> </w:t>
      </w:r>
      <w:r w:rsidR="00F618B8">
        <w:t xml:space="preserve">who is </w:t>
      </w:r>
      <w:r w:rsidR="00B22FB9">
        <w:t>a member of the Secretariat</w:t>
      </w:r>
      <w:r w:rsidR="002C394A">
        <w:t xml:space="preserve"> –</w:t>
      </w:r>
      <w:r w:rsidR="00B22FB9">
        <w:t xml:space="preserve"> and without hearing the author</w:t>
      </w:r>
      <w:r w:rsidRPr="00DB256F">
        <w:t xml:space="preserve">. </w:t>
      </w:r>
      <w:r>
        <w:t>However,</w:t>
      </w:r>
      <w:r w:rsidR="00B22FB9">
        <w:t xml:space="preserve"> the Committee</w:t>
      </w:r>
      <w:r w:rsidR="00B22FB9" w:rsidRPr="00B22FB9">
        <w:t xml:space="preserve"> </w:t>
      </w:r>
      <w:r w:rsidR="00B22FB9">
        <w:t xml:space="preserve">considers that the author has failed to justify how this </w:t>
      </w:r>
      <w:r w:rsidR="00F618B8">
        <w:t xml:space="preserve">in itself </w:t>
      </w:r>
      <w:r w:rsidR="00B22FB9">
        <w:t xml:space="preserve">affected </w:t>
      </w:r>
      <w:r w:rsidR="00F618B8">
        <w:t>his rights under the relevant provisions.</w:t>
      </w:r>
      <w:r>
        <w:t xml:space="preserve"> </w:t>
      </w:r>
      <w:r w:rsidR="00F618B8">
        <w:t xml:space="preserve">Therefore, </w:t>
      </w:r>
      <w:r>
        <w:t>the Committee considers that this</w:t>
      </w:r>
      <w:r w:rsidRPr="00DB256F">
        <w:t xml:space="preserve"> claim is insufficiently substantiated for the purposes of admissibility and declares </w:t>
      </w:r>
      <w:r>
        <w:t xml:space="preserve">it </w:t>
      </w:r>
      <w:r w:rsidRPr="00DB256F">
        <w:t>inadmissible under article 2 of the Optional Protocol</w:t>
      </w:r>
      <w:r>
        <w:t>.</w:t>
      </w:r>
    </w:p>
    <w:p w14:paraId="4D183DC9" w14:textId="6AE5E715" w:rsidR="002C7133" w:rsidRPr="00827353" w:rsidRDefault="0073108C" w:rsidP="009A44BE">
      <w:pPr>
        <w:pStyle w:val="SingleTxtG"/>
      </w:pPr>
      <w:r w:rsidRPr="00827353">
        <w:rPr>
          <w:rFonts w:eastAsia="SimSun"/>
          <w:lang w:eastAsia="ko-KR"/>
        </w:rPr>
        <w:t>7.6</w:t>
      </w:r>
      <w:r w:rsidRPr="00827353">
        <w:rPr>
          <w:rFonts w:eastAsia="SimSun"/>
          <w:lang w:eastAsia="ko-KR"/>
        </w:rPr>
        <w:tab/>
      </w:r>
      <w:r w:rsidR="00D86452" w:rsidRPr="00D86452">
        <w:rPr>
          <w:rFonts w:eastAsia="SimSun"/>
          <w:lang w:eastAsia="ko-KR"/>
        </w:rPr>
        <w:t xml:space="preserve">Finally, the Committee notes the State party’s challenge to admissibility on the grounds that the author’s claim under articles 6 and 7 of the Covenant </w:t>
      </w:r>
      <w:r w:rsidR="00F618B8">
        <w:rPr>
          <w:rFonts w:eastAsia="SimSun"/>
          <w:lang w:eastAsia="ko-KR"/>
        </w:rPr>
        <w:t xml:space="preserve">and based on an alleged risk for his life and integrity </w:t>
      </w:r>
      <w:r w:rsidR="00D86452" w:rsidRPr="00D86452">
        <w:rPr>
          <w:rFonts w:eastAsia="SimSun"/>
          <w:lang w:eastAsia="ko-KR"/>
        </w:rPr>
        <w:t>is unsubstantiated. However, the Committee considers that, for the purposes of admissibility, the author has adequately explained the reasons why he fears that his forcible return to the Islamic Republic of Iran would result in a risk of treatment contrary to articles 6 and 7 of the Covenant</w:t>
      </w:r>
      <w:r w:rsidR="00F618B8">
        <w:rPr>
          <w:rFonts w:eastAsia="SimSun"/>
          <w:lang w:eastAsia="ko-KR"/>
        </w:rPr>
        <w:t xml:space="preserve"> based on his conversion into Christianity</w:t>
      </w:r>
      <w:r w:rsidR="00D86452" w:rsidRPr="00D86452">
        <w:rPr>
          <w:rFonts w:eastAsia="SimSun"/>
          <w:lang w:eastAsia="ko-KR"/>
        </w:rPr>
        <w:t>. Therefore, the Committee declares the communication admissible insofar as it raises issues under articles 6 and 7 and proceeds to its consideration of the merits.</w:t>
      </w:r>
    </w:p>
    <w:p w14:paraId="36071AD1" w14:textId="77777777" w:rsidR="00C92F41" w:rsidRPr="00827353" w:rsidRDefault="0034764B" w:rsidP="00B2295B">
      <w:pPr>
        <w:pStyle w:val="H4G"/>
      </w:pPr>
      <w:r w:rsidRPr="00827353">
        <w:tab/>
      </w:r>
      <w:r w:rsidRPr="00827353">
        <w:tab/>
      </w:r>
      <w:r w:rsidR="00C92F41" w:rsidRPr="00827353">
        <w:t>Consideration o</w:t>
      </w:r>
      <w:r w:rsidR="00205448" w:rsidRPr="00827353">
        <w:t>f</w:t>
      </w:r>
      <w:r w:rsidR="00C92F41" w:rsidRPr="00827353">
        <w:t xml:space="preserve"> the merits</w:t>
      </w:r>
    </w:p>
    <w:p w14:paraId="499C92C0" w14:textId="77777777" w:rsidR="0077731B" w:rsidRPr="00827353" w:rsidRDefault="000603D3" w:rsidP="009A44BE">
      <w:pPr>
        <w:pStyle w:val="SingleTxtG"/>
      </w:pPr>
      <w:r w:rsidRPr="00827353">
        <w:t>8</w:t>
      </w:r>
      <w:r w:rsidR="00C92F41" w:rsidRPr="00827353">
        <w:t>.1</w:t>
      </w:r>
      <w:r w:rsidR="00C92F41" w:rsidRPr="00827353">
        <w:tab/>
      </w:r>
      <w:r w:rsidR="0077731B" w:rsidRPr="00827353">
        <w:t xml:space="preserve">The Committee has considered the communication in </w:t>
      </w:r>
      <w:r w:rsidR="00D515DB" w:rsidRPr="00827353">
        <w:t xml:space="preserve">the </w:t>
      </w:r>
      <w:r w:rsidR="0077731B" w:rsidRPr="00827353">
        <w:t>light of all the information made available to it by the parties, as provided f</w:t>
      </w:r>
      <w:r w:rsidR="003E4627">
        <w:t>or under article 5</w:t>
      </w:r>
      <w:r w:rsidRPr="00827353">
        <w:t>(1)</w:t>
      </w:r>
      <w:r w:rsidR="00513432" w:rsidRPr="00827353">
        <w:t xml:space="preserve"> of the Optional Protocol.</w:t>
      </w:r>
    </w:p>
    <w:p w14:paraId="16B6ACE4" w14:textId="6B70694A" w:rsidR="003E4627" w:rsidRDefault="000603D3" w:rsidP="009A44BE">
      <w:pPr>
        <w:pStyle w:val="SingleTxtG"/>
      </w:pPr>
      <w:r w:rsidRPr="00827353">
        <w:t>8</w:t>
      </w:r>
      <w:r w:rsidR="0084264C" w:rsidRPr="00827353">
        <w:t>.2</w:t>
      </w:r>
      <w:r w:rsidR="0084264C" w:rsidRPr="00827353">
        <w:tab/>
      </w:r>
      <w:r w:rsidR="003E4627" w:rsidRPr="003E4627">
        <w:t xml:space="preserve">The Committee notes the author’s </w:t>
      </w:r>
      <w:r w:rsidR="00AB73B8">
        <w:t xml:space="preserve">initial </w:t>
      </w:r>
      <w:r w:rsidR="003E4627" w:rsidRPr="003E4627">
        <w:t xml:space="preserve">claim that returning him to the Islamic Republic of Iran would expose him to a risk of irreparable harm, in violation of articles 6 and 7 of the Covenant. </w:t>
      </w:r>
      <w:r w:rsidR="00AB73B8">
        <w:t>He alleged</w:t>
      </w:r>
      <w:r w:rsidR="00AD17EF">
        <w:t xml:space="preserve"> t</w:t>
      </w:r>
      <w:r w:rsidR="003E4627" w:rsidRPr="003E4627">
        <w:t xml:space="preserve">hat he would face persecution by the Iranian authorities because he </w:t>
      </w:r>
      <w:r w:rsidR="003E4627">
        <w:t>converted from Islam to Christianity</w:t>
      </w:r>
      <w:r w:rsidR="003E4627" w:rsidRPr="003E4627">
        <w:t>.</w:t>
      </w:r>
      <w:r w:rsidR="00AB73B8">
        <w:t xml:space="preserve"> However, </w:t>
      </w:r>
      <w:r w:rsidR="00BD5177">
        <w:t xml:space="preserve">the Committee notes that, </w:t>
      </w:r>
      <w:r w:rsidR="00AB73B8">
        <w:t xml:space="preserve">after his deportation </w:t>
      </w:r>
      <w:r w:rsidR="00BD5177">
        <w:t xml:space="preserve">to Iran </w:t>
      </w:r>
      <w:r w:rsidR="00AB73B8">
        <w:t xml:space="preserve">on 30 July 2014, the author has not provided </w:t>
      </w:r>
      <w:r w:rsidR="00BD5177">
        <w:t xml:space="preserve">any </w:t>
      </w:r>
      <w:r w:rsidR="00AB73B8">
        <w:t>further information as to any violation of the Covenant arising precisely after and due to his deportation. Moreover, g</w:t>
      </w:r>
      <w:r w:rsidR="00AD17EF">
        <w:t xml:space="preserve">iven that the author’s complaint before the Committee revolves around his conversion, the Committee will not examine the author’s allegations before the Danish authorities in connection with his </w:t>
      </w:r>
      <w:r w:rsidR="00BD5177">
        <w:t xml:space="preserve">alleged </w:t>
      </w:r>
      <w:r w:rsidR="00AD17EF">
        <w:t>activities in Syria.</w:t>
      </w:r>
    </w:p>
    <w:p w14:paraId="16CEAB92" w14:textId="77777777" w:rsidR="003F757F" w:rsidRDefault="003E4627" w:rsidP="009A44BE">
      <w:pPr>
        <w:pStyle w:val="SingleTxtG"/>
      </w:pPr>
      <w:r>
        <w:t>8.3</w:t>
      </w:r>
      <w:r>
        <w:tab/>
      </w:r>
      <w:r w:rsidRPr="003E6B95">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(para. 12). The Committee has also indicated that the risk must be personal</w:t>
      </w:r>
      <w:r w:rsidRPr="000767D8">
        <w:rPr>
          <w:rStyle w:val="FootnoteReference"/>
        </w:rPr>
        <w:footnoteReference w:id="29"/>
      </w:r>
      <w:r w:rsidRPr="003E6B95">
        <w:t xml:space="preserve"> and that there is a high threshold for providing substantial grounds to establish that a real risk of irreparable harm exists.</w:t>
      </w:r>
      <w:r w:rsidRPr="000767D8">
        <w:rPr>
          <w:rStyle w:val="FootnoteReference"/>
        </w:rPr>
        <w:footnoteReference w:id="30"/>
      </w:r>
      <w:r w:rsidRPr="003E6B95">
        <w:t xml:space="preserve"> Thus, all relevant facts and circumstances must be considered, including the general human rights situation in the author</w:t>
      </w:r>
      <w:r>
        <w:t>’</w:t>
      </w:r>
      <w:r w:rsidRPr="003E6B95">
        <w:t>s country of origin.</w:t>
      </w:r>
      <w:r w:rsidRPr="000767D8">
        <w:rPr>
          <w:rStyle w:val="FootnoteReference"/>
        </w:rPr>
        <w:footnoteReference w:id="31"/>
      </w:r>
    </w:p>
    <w:p w14:paraId="791351D5" w14:textId="26A11041" w:rsidR="003E4627" w:rsidRDefault="003F757F" w:rsidP="009A44BE">
      <w:pPr>
        <w:pStyle w:val="SingleTxtG"/>
      </w:pPr>
      <w:r>
        <w:t>8.4</w:t>
      </w:r>
      <w:r>
        <w:tab/>
      </w:r>
      <w:r w:rsidR="003E4627" w:rsidRPr="003E6B95">
        <w:t>The Committee recalls that it is generally for the organs of States parties to examine the facts and evidence of the case in question in order to determine whether such a risk exists,</w:t>
      </w:r>
      <w:r w:rsidR="003E4627" w:rsidRPr="000767D8">
        <w:rPr>
          <w:rStyle w:val="FootnoteReference"/>
        </w:rPr>
        <w:footnoteReference w:id="32"/>
      </w:r>
      <w:r w:rsidR="003E4627" w:rsidRPr="003E6B95">
        <w:t xml:space="preserve"> unless it can be established that the assessment was clearly arbitrary or amounted to a manifest error or denial of justice.</w:t>
      </w:r>
      <w:r w:rsidR="003E4627" w:rsidRPr="000767D8">
        <w:rPr>
          <w:rStyle w:val="FootnoteReference"/>
        </w:rPr>
        <w:footnoteReference w:id="33"/>
      </w:r>
    </w:p>
    <w:p w14:paraId="7537629E" w14:textId="0BF944FE" w:rsidR="007D1362" w:rsidRDefault="00844A39" w:rsidP="00BD11A0">
      <w:pPr>
        <w:pStyle w:val="SingleTxtG"/>
      </w:pPr>
      <w:r w:rsidRPr="00827353">
        <w:t>8.</w:t>
      </w:r>
      <w:r w:rsidR="003F757F">
        <w:t>5</w:t>
      </w:r>
      <w:r w:rsidRPr="00827353">
        <w:tab/>
        <w:t xml:space="preserve">The Committee notes the finding of the Refugee Appeals Board that </w:t>
      </w:r>
      <w:r w:rsidR="003261EE" w:rsidRPr="00827353">
        <w:t xml:space="preserve">the author failed to substantiate </w:t>
      </w:r>
      <w:r w:rsidR="00CB6979" w:rsidRPr="00827353">
        <w:t xml:space="preserve">that his conversion was genuine, despite the </w:t>
      </w:r>
      <w:r w:rsidR="00D92DC2" w:rsidRPr="00827353">
        <w:t>existence of a</w:t>
      </w:r>
      <w:r w:rsidR="00CB6979" w:rsidRPr="00827353">
        <w:t xml:space="preserve"> certificate of baptism.</w:t>
      </w:r>
      <w:r w:rsidR="007D1362" w:rsidRPr="00827353">
        <w:t xml:space="preserve"> </w:t>
      </w:r>
      <w:r w:rsidR="00F50735" w:rsidRPr="00827353">
        <w:t xml:space="preserve">In this connection, the Committee observes </w:t>
      </w:r>
      <w:r w:rsidR="00C14D55">
        <w:t xml:space="preserve">the finding of the State party </w:t>
      </w:r>
      <w:r w:rsidR="00F50735" w:rsidRPr="00827353">
        <w:t>that</w:t>
      </w:r>
      <w:r w:rsidR="00BD5177">
        <w:t>, other than his</w:t>
      </w:r>
      <w:r w:rsidR="00DB3773">
        <w:t xml:space="preserve"> certificate of baptism, </w:t>
      </w:r>
      <w:r w:rsidR="00F50735" w:rsidRPr="00827353">
        <w:t xml:space="preserve">the author </w:t>
      </w:r>
      <w:r w:rsidR="00DB3773">
        <w:t xml:space="preserve">has not provided any information or evidence </w:t>
      </w:r>
      <w:r w:rsidR="00BD11A0">
        <w:t xml:space="preserve">– neither to the Danish authorities, nor to the Committee – </w:t>
      </w:r>
      <w:r w:rsidR="00DB3773">
        <w:t>to substantiate that his conversion was genuine.</w:t>
      </w:r>
      <w:r w:rsidR="00BD11A0">
        <w:t xml:space="preserve"> </w:t>
      </w:r>
      <w:r w:rsidR="00BF202A" w:rsidRPr="00827353">
        <w:t>The Committee</w:t>
      </w:r>
      <w:r w:rsidR="00BD11A0">
        <w:t xml:space="preserve"> also</w:t>
      </w:r>
      <w:r w:rsidR="00994E78" w:rsidRPr="00827353">
        <w:t xml:space="preserve"> notes that</w:t>
      </w:r>
      <w:r w:rsidR="00BD5177">
        <w:t>,</w:t>
      </w:r>
      <w:r w:rsidR="00994E78" w:rsidRPr="00827353">
        <w:t xml:space="preserve"> </w:t>
      </w:r>
      <w:r w:rsidR="00BD11A0">
        <w:t xml:space="preserve">based on this limited information, </w:t>
      </w:r>
      <w:r w:rsidR="00994E78" w:rsidRPr="00827353">
        <w:t xml:space="preserve">the Refugee Appeals Board </w:t>
      </w:r>
      <w:r w:rsidR="00BD11A0">
        <w:t>refused to reopen the author’s asylum case</w:t>
      </w:r>
      <w:r w:rsidR="00893512" w:rsidRPr="00827353">
        <w:t>.</w:t>
      </w:r>
    </w:p>
    <w:p w14:paraId="68CF4C8B" w14:textId="70CBC006" w:rsidR="000E4CB1" w:rsidRPr="00827353" w:rsidRDefault="000E4CB1" w:rsidP="00B83115">
      <w:pPr>
        <w:pStyle w:val="SingleTxtG"/>
      </w:pPr>
      <w:r w:rsidRPr="00827353">
        <w:t>8.</w:t>
      </w:r>
      <w:r w:rsidR="003F757F">
        <w:t>6</w:t>
      </w:r>
      <w:r w:rsidRPr="00827353">
        <w:tab/>
      </w:r>
      <w:r w:rsidR="00C14D55">
        <w:t xml:space="preserve">In this regard, </w:t>
      </w:r>
      <w:r w:rsidR="00C14D55">
        <w:rPr>
          <w:lang w:val="en-US"/>
        </w:rPr>
        <w:t>t</w:t>
      </w:r>
      <w:r w:rsidR="00CE73EE" w:rsidRPr="00CE73EE">
        <w:rPr>
          <w:lang w:val="en-US"/>
        </w:rPr>
        <w:t xml:space="preserve">he Committee considers that when an asylum seeker submits that he or she has converted to another religion after his or her initial asylum request has been dismissed in the country of asylum, it may be reasonable for </w:t>
      </w:r>
      <w:r w:rsidR="00C14D55">
        <w:rPr>
          <w:lang w:val="en-US"/>
        </w:rPr>
        <w:t xml:space="preserve">the States parties to conduct </w:t>
      </w:r>
      <w:r w:rsidR="00CE73EE" w:rsidRPr="00CE73EE">
        <w:rPr>
          <w:lang w:val="en-US"/>
        </w:rPr>
        <w:t>an in-depth examination of the circumstances of the conversion.</w:t>
      </w:r>
      <w:r w:rsidR="00CE73EE" w:rsidRPr="00CE73EE">
        <w:rPr>
          <w:vertAlign w:val="superscript"/>
          <w:lang w:val="en-US"/>
        </w:rPr>
        <w:footnoteReference w:id="34"/>
      </w:r>
      <w:r w:rsidR="00CE73EE" w:rsidRPr="00CE73EE">
        <w:rPr>
          <w:lang w:val="en-US"/>
        </w:rPr>
        <w:t xml:space="preserve"> However</w:t>
      </w:r>
      <w:r w:rsidR="00BD5177">
        <w:rPr>
          <w:lang w:val="en-US"/>
        </w:rPr>
        <w:t>,</w:t>
      </w:r>
      <w:r w:rsidR="00CE73EE" w:rsidRPr="00CE73EE">
        <w:rPr>
          <w:lang w:val="en-US"/>
        </w:rPr>
        <w:t xml:space="preserve"> the test </w:t>
      </w:r>
      <w:r w:rsidR="00C14D55">
        <w:rPr>
          <w:lang w:val="en-US"/>
        </w:rPr>
        <w:t xml:space="preserve">for the Committee </w:t>
      </w:r>
      <w:r w:rsidR="00CE73EE" w:rsidRPr="00CE73EE">
        <w:rPr>
          <w:lang w:val="en-US"/>
        </w:rPr>
        <w:t>remains whether, regardless of the sincerity of the conversion, there are substantial grounds for believing that such conversion may have serious adverse consequences in the country of origin so as to create a real risk of irreparable harm such as that contemplated by articles 6 and 7 of the Covenant. Therefore, even when it is found that the reported conversion is not sincere, the authorities should proceed to assess whether, in the circumstances of the case, the asylum seeker’s behaviour and activities in connection with, or to justify, his or her conversion, such as attending a church, being baptized or participating in proselytizing activities, could have serious adverse consequences in the country of origin so as to put him or her at risk of irreparable harm.</w:t>
      </w:r>
      <w:r w:rsidR="00CE73EE" w:rsidRPr="00CE73EE">
        <w:rPr>
          <w:vertAlign w:val="superscript"/>
          <w:lang w:val="en-US"/>
        </w:rPr>
        <w:footnoteReference w:id="35"/>
      </w:r>
    </w:p>
    <w:p w14:paraId="73B86827" w14:textId="7D20A25A" w:rsidR="006D57CC" w:rsidRPr="00827353" w:rsidRDefault="00EA1FCC" w:rsidP="00007AE7">
      <w:pPr>
        <w:pStyle w:val="SingleTxtG"/>
      </w:pPr>
      <w:r w:rsidRPr="00827353">
        <w:t>8.</w:t>
      </w:r>
      <w:r w:rsidR="003F757F">
        <w:t>7</w:t>
      </w:r>
      <w:r w:rsidRPr="00827353">
        <w:tab/>
        <w:t xml:space="preserve">In the present case, the Committee observes that </w:t>
      </w:r>
      <w:r w:rsidR="00CE73EE">
        <w:t>the only information produced by the author in support of his conversion was a certificate of baptism dated 6 June 2013, which referred to his baptism having taken place on 23 November 2012. However, the author has not explained what has caused such a lapse of time between these two dates. In the absence of further details, the Refugee Appeals Board has refused to reopen the author’s asylum case, considering</w:t>
      </w:r>
      <w:r w:rsidR="00D47780" w:rsidRPr="00827353">
        <w:t xml:space="preserve"> that the author failed to establish that his </w:t>
      </w:r>
      <w:r w:rsidRPr="00827353">
        <w:t>conversion was genuine</w:t>
      </w:r>
      <w:r w:rsidR="00CE73EE">
        <w:t>.</w:t>
      </w:r>
      <w:r w:rsidR="00D47780" w:rsidRPr="00827353">
        <w:t xml:space="preserve"> </w:t>
      </w:r>
      <w:r w:rsidR="00DD4B08" w:rsidRPr="00827353">
        <w:t>Therefore, the Board found that the auth</w:t>
      </w:r>
      <w:r w:rsidR="00895604" w:rsidRPr="00827353">
        <w:t>or will not be at a risk of persecu</w:t>
      </w:r>
      <w:r w:rsidR="00CE73EE">
        <w:t>tion falling within section 7</w:t>
      </w:r>
      <w:r w:rsidR="00895604" w:rsidRPr="00827353">
        <w:t xml:space="preserve"> of the Aliens Act </w:t>
      </w:r>
      <w:r w:rsidR="00CE73EE">
        <w:t xml:space="preserve">if returned to </w:t>
      </w:r>
      <w:r w:rsidR="00C14D55" w:rsidRPr="0001698F">
        <w:t>the Islamic Republic of</w:t>
      </w:r>
      <w:r w:rsidR="00C14D55">
        <w:t xml:space="preserve"> </w:t>
      </w:r>
      <w:r w:rsidR="00CE73EE">
        <w:t>Iran</w:t>
      </w:r>
      <w:r w:rsidR="00DD4B08" w:rsidRPr="00827353">
        <w:t>.</w:t>
      </w:r>
    </w:p>
    <w:p w14:paraId="0480A372" w14:textId="6801425D" w:rsidR="0001698F" w:rsidRDefault="00E52A96" w:rsidP="009A44BE">
      <w:pPr>
        <w:pStyle w:val="SingleTxtG"/>
      </w:pPr>
      <w:r w:rsidRPr="00827353">
        <w:t>8.</w:t>
      </w:r>
      <w:r w:rsidR="003F757F">
        <w:t>8</w:t>
      </w:r>
      <w:r w:rsidRPr="00827353">
        <w:tab/>
        <w:t xml:space="preserve">The Committee </w:t>
      </w:r>
      <w:r w:rsidR="00F6077F" w:rsidRPr="00827353">
        <w:t xml:space="preserve">further </w:t>
      </w:r>
      <w:r w:rsidR="0001698F">
        <w:t xml:space="preserve">notes that </w:t>
      </w:r>
      <w:r w:rsidRPr="00827353">
        <w:t xml:space="preserve">although the author contests the assessment and findings of the Danish authorities as to the risk of harm he </w:t>
      </w:r>
      <w:r w:rsidR="0001698F">
        <w:t>would have faced</w:t>
      </w:r>
      <w:r w:rsidRPr="00827353">
        <w:t xml:space="preserve"> in </w:t>
      </w:r>
      <w:r w:rsidR="00C14D55" w:rsidRPr="00C14D55">
        <w:t xml:space="preserve">the Islamic Republic of </w:t>
      </w:r>
      <w:r w:rsidRPr="00827353">
        <w:t>Iran</w:t>
      </w:r>
      <w:r w:rsidR="00F54E82">
        <w:t xml:space="preserve"> because of his conversion</w:t>
      </w:r>
      <w:r w:rsidRPr="00827353">
        <w:t xml:space="preserve">, he has not presented any evidence to substantiate his allegations under articles 6 and 7 of the Covenant. </w:t>
      </w:r>
      <w:r w:rsidR="0001698F">
        <w:t xml:space="preserve">The author also </w:t>
      </w:r>
      <w:r w:rsidR="00BD5177">
        <w:t xml:space="preserve">failed to </w:t>
      </w:r>
      <w:r w:rsidR="0001698F">
        <w:t xml:space="preserve">provide any pertinent information to the Committee </w:t>
      </w:r>
      <w:r w:rsidR="00BD5177">
        <w:t xml:space="preserve">to justify that </w:t>
      </w:r>
      <w:r w:rsidR="0001698F">
        <w:t>his alleged conversion</w:t>
      </w:r>
      <w:r w:rsidR="0001698F" w:rsidRPr="0001698F">
        <w:t xml:space="preserve"> is </w:t>
      </w:r>
      <w:r w:rsidR="0001698F">
        <w:t xml:space="preserve">indeed </w:t>
      </w:r>
      <w:r w:rsidR="0001698F" w:rsidRPr="0001698F">
        <w:t xml:space="preserve">known </w:t>
      </w:r>
      <w:r w:rsidR="0001698F">
        <w:t xml:space="preserve">to the Iranian authorities, </w:t>
      </w:r>
      <w:r w:rsidR="00BD5177">
        <w:t>that</w:t>
      </w:r>
      <w:r w:rsidR="0001698F" w:rsidRPr="0001698F">
        <w:t xml:space="preserve"> </w:t>
      </w:r>
      <w:r w:rsidR="0001698F">
        <w:t xml:space="preserve">he </w:t>
      </w:r>
      <w:r w:rsidR="00BD5177">
        <w:t xml:space="preserve">is </w:t>
      </w:r>
      <w:r w:rsidR="0001698F">
        <w:t>practising</w:t>
      </w:r>
      <w:r w:rsidR="0001698F" w:rsidRPr="0001698F">
        <w:t xml:space="preserve"> Christianity in the Islamic Republic of Iran</w:t>
      </w:r>
      <w:r w:rsidR="00BD5177">
        <w:t xml:space="preserve"> or that</w:t>
      </w:r>
      <w:r w:rsidR="0001698F" w:rsidRPr="0001698F">
        <w:t xml:space="preserve"> </w:t>
      </w:r>
      <w:r w:rsidR="0001698F">
        <w:t>he ha</w:t>
      </w:r>
      <w:r w:rsidR="0001698F" w:rsidRPr="0001698F">
        <w:t xml:space="preserve">s </w:t>
      </w:r>
      <w:r w:rsidR="0001698F">
        <w:t xml:space="preserve">been </w:t>
      </w:r>
      <w:r w:rsidR="0001698F" w:rsidRPr="0001698F">
        <w:t xml:space="preserve">targeted </w:t>
      </w:r>
      <w:r w:rsidR="0001698F">
        <w:t>by the Iranian authorities on the basis of his conversion.</w:t>
      </w:r>
    </w:p>
    <w:p w14:paraId="560B08E1" w14:textId="135BEABD" w:rsidR="00C83F4B" w:rsidRPr="00827353" w:rsidRDefault="0001698F" w:rsidP="009A44BE">
      <w:pPr>
        <w:pStyle w:val="SingleTxtG"/>
      </w:pPr>
      <w:r>
        <w:t>8.</w:t>
      </w:r>
      <w:r w:rsidR="003F757F">
        <w:t>9</w:t>
      </w:r>
      <w:r>
        <w:tab/>
      </w:r>
      <w:r w:rsidR="00E52A96" w:rsidRPr="00827353">
        <w:t xml:space="preserve">The Committee </w:t>
      </w:r>
      <w:r w:rsidR="00BF202A" w:rsidRPr="00827353">
        <w:t xml:space="preserve">also </w:t>
      </w:r>
      <w:r w:rsidR="00E52A96" w:rsidRPr="00827353">
        <w:t xml:space="preserve">considers that the information at its disposal demonstrates that the State party took into account all the elements available when evaluating the risk faced by the author and that the author has not identified any irregularity in the decision-making process. The Committee also considers that, while the author disagrees with the </w:t>
      </w:r>
      <w:r w:rsidR="00F54E82">
        <w:t>decision o</w:t>
      </w:r>
      <w:r w:rsidR="00E52A96" w:rsidRPr="00827353">
        <w:t>f the State party’s authorities</w:t>
      </w:r>
      <w:r w:rsidR="00F54E82">
        <w:t xml:space="preserve"> not to reopen his case, he has not shown that the decision of 28 July 2014 was</w:t>
      </w:r>
      <w:r w:rsidR="00E52A96" w:rsidRPr="00827353">
        <w:t xml:space="preserve"> arbitrary or manifestly erroneous, or amounted to a denial of justice. Consequently, the Committee considers that the evidence and circumstances invoked by the author have not adduced sufficient grounds</w:t>
      </w:r>
      <w:r>
        <w:t xml:space="preserve"> for demonstrating that, following his deportation, he ra</w:t>
      </w:r>
      <w:r w:rsidR="00E52A96" w:rsidRPr="00827353">
        <w:t xml:space="preserve">n a real and personal risk of being subjected to treatment contrary to articles 6 and 7 of the Covenant. In view thereof, the Committee is not able to conclude that the information before it shows that the author’s rights under articles 6 and 7 of the Covenant </w:t>
      </w:r>
      <w:r w:rsidR="00302ADA">
        <w:t xml:space="preserve">have been </w:t>
      </w:r>
      <w:r w:rsidR="00E52A96" w:rsidRPr="00827353">
        <w:t xml:space="preserve">violated </w:t>
      </w:r>
      <w:r w:rsidR="00302ADA">
        <w:t xml:space="preserve">because of his removal </w:t>
      </w:r>
      <w:r w:rsidR="00E52A96" w:rsidRPr="00827353">
        <w:t xml:space="preserve">to </w:t>
      </w:r>
      <w:r w:rsidR="00C14D55" w:rsidRPr="00C14D55">
        <w:t xml:space="preserve">the Islamic Republic of </w:t>
      </w:r>
      <w:r w:rsidR="00E52A96" w:rsidRPr="00827353">
        <w:t>Iran.</w:t>
      </w:r>
    </w:p>
    <w:p w14:paraId="00608FFC" w14:textId="69C8DBF2" w:rsidR="006C3ABB" w:rsidRPr="00827353" w:rsidRDefault="00E52A96" w:rsidP="00302ADA">
      <w:pPr>
        <w:pStyle w:val="SingleTxtG"/>
      </w:pPr>
      <w:r w:rsidRPr="00827353">
        <w:t>9.</w:t>
      </w:r>
      <w:r w:rsidRPr="00827353">
        <w:tab/>
        <w:t>The Human Rights Committee, acting under article 5(4) of the Optional Protocol, is of the view that the facts before it do not permit it to conclude that</w:t>
      </w:r>
      <w:r w:rsidR="00DC5A3E" w:rsidRPr="00827353">
        <w:t xml:space="preserve"> the author’s expulsion to </w:t>
      </w:r>
      <w:r w:rsidR="00C14D55" w:rsidRPr="00C14D55">
        <w:t xml:space="preserve">the Islamic Republic of </w:t>
      </w:r>
      <w:r w:rsidR="00DC5A3E" w:rsidRPr="00827353">
        <w:t>Iran</w:t>
      </w:r>
      <w:r w:rsidRPr="00827353">
        <w:t xml:space="preserve"> </w:t>
      </w:r>
      <w:r w:rsidR="00F54E82">
        <w:t xml:space="preserve">has </w:t>
      </w:r>
      <w:r w:rsidRPr="00827353">
        <w:t>violate</w:t>
      </w:r>
      <w:r w:rsidR="00F54E82">
        <w:t>d</w:t>
      </w:r>
      <w:r w:rsidRPr="00827353">
        <w:t xml:space="preserve"> his rights under articles 6(1) and 7 of the Covenant.</w:t>
      </w:r>
    </w:p>
    <w:p w14:paraId="13806DC6" w14:textId="049DE6C2" w:rsidR="00D26F3A" w:rsidRPr="00827353" w:rsidRDefault="00C03F57" w:rsidP="00DF6BF4">
      <w:pPr>
        <w:pStyle w:val="SingleTxtG"/>
        <w:spacing w:before="240" w:after="0"/>
        <w:jc w:val="center"/>
        <w:rPr>
          <w:u w:val="single"/>
        </w:rPr>
      </w:pPr>
      <w:r w:rsidRPr="00827353">
        <w:rPr>
          <w:u w:val="single"/>
        </w:rPr>
        <w:tab/>
      </w:r>
      <w:r w:rsidRPr="00827353">
        <w:rPr>
          <w:u w:val="single"/>
        </w:rPr>
        <w:tab/>
      </w:r>
      <w:r w:rsidRPr="00827353">
        <w:rPr>
          <w:u w:val="single"/>
        </w:rPr>
        <w:tab/>
      </w:r>
      <w:r w:rsidR="00B2295B">
        <w:rPr>
          <w:u w:val="single"/>
        </w:rPr>
        <w:tab/>
      </w:r>
    </w:p>
    <w:sectPr w:rsidR="00D26F3A" w:rsidRPr="00827353" w:rsidSect="005512B0">
      <w:headerReference w:type="even" r:id="rId12"/>
      <w:headerReference w:type="default" r:id="rId13"/>
      <w:footerReference w:type="even" r:id="rId14"/>
      <w:footerReference w:type="default" r:id="rId15"/>
      <w:footerReference w:type="first" r:id="rId16"/>
      <w:endnotePr>
        <w:numFmt w:val="decimal"/>
      </w:endnotePr>
      <w:pgSz w:w="12240" w:h="15840" w:code="1"/>
      <w:pgMar w:top="1418" w:right="1134" w:bottom="1134" w:left="1134" w:header="851" w:footer="56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94191" w16cid:durableId="1DDA36B9"/>
  <w16cid:commentId w16cid:paraId="63BC6DA7" w16cid:durableId="1DDA39FF"/>
  <w16cid:commentId w16cid:paraId="37D13F29" w16cid:durableId="1DDA3B18"/>
  <w16cid:commentId w16cid:paraId="6FE84E7E" w16cid:durableId="1DDA8F46"/>
  <w16cid:commentId w16cid:paraId="0A6E4FD3" w16cid:durableId="1DDA93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9385C" w14:textId="77777777" w:rsidR="00061E8B" w:rsidRDefault="00061E8B"/>
  </w:endnote>
  <w:endnote w:type="continuationSeparator" w:id="0">
    <w:p w14:paraId="24B36890" w14:textId="77777777" w:rsidR="00061E8B" w:rsidRDefault="00061E8B"/>
  </w:endnote>
  <w:endnote w:type="continuationNotice" w:id="1">
    <w:p w14:paraId="69F8A81D" w14:textId="77777777" w:rsidR="00061E8B" w:rsidRDefault="00061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47ED" w14:textId="0E6E4E4D" w:rsidR="00CE46EF" w:rsidRPr="00085D93" w:rsidRDefault="00CE46EF" w:rsidP="003521FD">
    <w:pPr>
      <w:pStyle w:val="Footer"/>
      <w:tabs>
        <w:tab w:val="right" w:pos="9638"/>
      </w:tabs>
    </w:pPr>
    <w:r w:rsidRPr="00085D93">
      <w:rPr>
        <w:sz w:val="18"/>
      </w:rPr>
      <w:fldChar w:fldCharType="begin"/>
    </w:r>
    <w:r w:rsidRPr="00085D93">
      <w:rPr>
        <w:sz w:val="18"/>
      </w:rPr>
      <w:instrText xml:space="preserve"> PAGE  \* MERGEFORMAT </w:instrText>
    </w:r>
    <w:r w:rsidRPr="00085D93">
      <w:rPr>
        <w:sz w:val="18"/>
      </w:rPr>
      <w:fldChar w:fldCharType="separate"/>
    </w:r>
    <w:r w:rsidR="002A3F92">
      <w:rPr>
        <w:noProof/>
        <w:sz w:val="18"/>
      </w:rPr>
      <w:t>10</w:t>
    </w:r>
    <w:r w:rsidRPr="00085D93">
      <w:rPr>
        <w:sz w:val="18"/>
      </w:rPr>
      <w:fldChar w:fldCharType="end"/>
    </w:r>
    <w:r w:rsidRPr="00085D9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0115" w14:textId="04FCF3FE" w:rsidR="00CE46EF" w:rsidRPr="00A36331" w:rsidRDefault="00CE46EF" w:rsidP="003521FD">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2A3F92">
      <w:rPr>
        <w:noProof/>
        <w:sz w:val="18"/>
      </w:rPr>
      <w:t>11</w:t>
    </w:r>
    <w:r w:rsidRPr="00A363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3034" w14:textId="10D170CA" w:rsidR="00892037" w:rsidRPr="007859EF" w:rsidRDefault="007859EF" w:rsidP="007859EF">
    <w:pPr>
      <w:pStyle w:val="Footer"/>
      <w:ind w:right="1134"/>
      <w:rPr>
        <w:rFonts w:asciiTheme="majorBidi" w:hAnsiTheme="majorBidi" w:cstheme="majorBidi"/>
        <w:sz w:val="20"/>
      </w:rPr>
    </w:pPr>
    <w:r w:rsidRPr="007859EF">
      <w:rPr>
        <w:rFonts w:ascii="C39T30Lfz" w:hAnsi="C39T30Lfz"/>
        <w:noProof/>
        <w:sz w:val="20"/>
        <w:lang w:eastAsia="en-GB"/>
      </w:rPr>
      <w:drawing>
        <wp:anchor distT="0" distB="0" distL="114300" distR="114300" simplePos="0" relativeHeight="251660288" behindDoc="0" locked="0" layoutInCell="1" allowOverlap="1" wp14:anchorId="14AD18F4" wp14:editId="4019E183">
          <wp:simplePos x="0" y="0"/>
          <wp:positionH relativeFrom="margin">
            <wp:posOffset>5478780</wp:posOffset>
          </wp:positionH>
          <wp:positionV relativeFrom="margin">
            <wp:posOffset>8175464</wp:posOffset>
          </wp:positionV>
          <wp:extent cx="561975" cy="561975"/>
          <wp:effectExtent l="0" t="0" r="9525" b="9525"/>
          <wp:wrapNone/>
          <wp:docPr id="1" name="Picture 1" descr="https://undocs.org/m2/QRCode.ashx?DS=CCPR/C/125/DR/249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494/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9EF">
      <w:rPr>
        <w:rFonts w:asciiTheme="majorBidi" w:hAnsiTheme="majorBidi" w:cstheme="majorBidi"/>
        <w:noProof/>
        <w:sz w:val="20"/>
        <w:lang w:eastAsia="en-GB"/>
      </w:rPr>
      <w:drawing>
        <wp:anchor distT="0" distB="0" distL="114300" distR="114300" simplePos="0" relativeHeight="251659264" behindDoc="1" locked="1" layoutInCell="1" allowOverlap="1" wp14:anchorId="65E794F1" wp14:editId="3BED42C5">
          <wp:simplePos x="0" y="0"/>
          <wp:positionH relativeFrom="margin">
            <wp:posOffset>4320540</wp:posOffset>
          </wp:positionH>
          <wp:positionV relativeFrom="margin">
            <wp:posOffset>8525510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A50F" w14:textId="77777777" w:rsidR="00061E8B" w:rsidRPr="000B175B" w:rsidRDefault="00061E8B" w:rsidP="003521FD">
      <w:pPr>
        <w:tabs>
          <w:tab w:val="right" w:pos="2155"/>
        </w:tabs>
        <w:spacing w:after="80"/>
        <w:ind w:left="680"/>
        <w:rPr>
          <w:u w:val="single"/>
        </w:rPr>
      </w:pPr>
      <w:r>
        <w:rPr>
          <w:u w:val="single"/>
        </w:rPr>
        <w:tab/>
      </w:r>
    </w:p>
  </w:footnote>
  <w:footnote w:type="continuationSeparator" w:id="0">
    <w:p w14:paraId="354CBB5A" w14:textId="77777777" w:rsidR="00061E8B" w:rsidRPr="00FC68B7" w:rsidRDefault="00061E8B" w:rsidP="003521FD">
      <w:pPr>
        <w:tabs>
          <w:tab w:val="left" w:pos="2155"/>
        </w:tabs>
        <w:spacing w:after="80"/>
        <w:ind w:left="680"/>
        <w:rPr>
          <w:u w:val="single"/>
        </w:rPr>
      </w:pPr>
      <w:r>
        <w:rPr>
          <w:u w:val="single"/>
        </w:rPr>
        <w:tab/>
      </w:r>
    </w:p>
  </w:footnote>
  <w:footnote w:type="continuationNotice" w:id="1">
    <w:p w14:paraId="5F7F990E" w14:textId="77777777" w:rsidR="00061E8B" w:rsidRDefault="00061E8B"/>
  </w:footnote>
  <w:footnote w:id="2">
    <w:p w14:paraId="60C95424" w14:textId="7C22C9F6" w:rsidR="00C3321E" w:rsidRPr="008C21DA" w:rsidRDefault="00C3321E" w:rsidP="00C3321E">
      <w:pPr>
        <w:pStyle w:val="FootnoteText"/>
      </w:pPr>
      <w:r>
        <w:rPr>
          <w:rStyle w:val="FootnoteReference"/>
        </w:rPr>
        <w:tab/>
      </w:r>
      <w:r w:rsidRPr="008C21DA">
        <w:rPr>
          <w:rStyle w:val="FootnoteReference"/>
          <w:sz w:val="20"/>
          <w:vertAlign w:val="baseline"/>
        </w:rPr>
        <w:t>*</w:t>
      </w:r>
      <w:r>
        <w:rPr>
          <w:rStyle w:val="FootnoteReference"/>
          <w:sz w:val="20"/>
          <w:vertAlign w:val="baseline"/>
        </w:rPr>
        <w:tab/>
      </w:r>
      <w:r>
        <w:t xml:space="preserve">Adopted by the Committee </w:t>
      </w:r>
      <w:r w:rsidRPr="003F757F">
        <w:t xml:space="preserve">at its </w:t>
      </w:r>
      <w:r w:rsidRPr="002A3F92">
        <w:t>125</w:t>
      </w:r>
      <w:r w:rsidRPr="002A3F92">
        <w:rPr>
          <w:vertAlign w:val="superscript"/>
          <w:lang w:val="en-GB"/>
        </w:rPr>
        <w:t>th</w:t>
      </w:r>
      <w:r>
        <w:rPr>
          <w:lang w:val="en-GB"/>
        </w:rPr>
        <w:t xml:space="preserve"> </w:t>
      </w:r>
      <w:r w:rsidRPr="002A3F92">
        <w:t>session</w:t>
      </w:r>
      <w:r w:rsidRPr="003F757F">
        <w:t xml:space="preserve"> (</w:t>
      </w:r>
      <w:r w:rsidRPr="00C3321E">
        <w:t>4-29 March 2019</w:t>
      </w:r>
      <w:r w:rsidRPr="003F757F">
        <w:t>).</w:t>
      </w:r>
    </w:p>
  </w:footnote>
  <w:footnote w:id="3">
    <w:p w14:paraId="26ADD20E" w14:textId="5FA5403B" w:rsidR="00C3321E" w:rsidRPr="008C21DA" w:rsidRDefault="00C3321E" w:rsidP="00C3321E">
      <w:pPr>
        <w:pStyle w:val="FootnoteText"/>
      </w:pPr>
      <w:r>
        <w:rPr>
          <w:rStyle w:val="FootnoteReference"/>
        </w:rPr>
        <w:tab/>
      </w:r>
      <w:r w:rsidRPr="008C21DA">
        <w:rPr>
          <w:rStyle w:val="FootnoteReference"/>
          <w:sz w:val="20"/>
          <w:vertAlign w:val="baseline"/>
        </w:rPr>
        <w:t>**</w:t>
      </w:r>
      <w:r>
        <w:rPr>
          <w:rStyle w:val="FootnoteReference"/>
          <w:sz w:val="20"/>
          <w:vertAlign w:val="baseline"/>
        </w:rPr>
        <w:tab/>
      </w:r>
      <w:r>
        <w:t>The following members of the Committee participated in the examination of the communication:</w:t>
      </w:r>
      <w:r w:rsidRPr="00E76124">
        <w:t xml:space="preserve"> </w:t>
      </w:r>
      <w:r>
        <w:t xml:space="preserve">Tania María Abdo Rocholl, Yadh Ben Achour, Ilze Brands Kehris, </w:t>
      </w:r>
      <w:r w:rsidRPr="00C3321E">
        <w:t>Christopher Arif B</w:t>
      </w:r>
      <w:r>
        <w:rPr>
          <w:lang w:val="en-GB"/>
        </w:rPr>
        <w:t>ulkan</w:t>
      </w:r>
      <w:r>
        <w:t xml:space="preserve">, Ahmed Amin Fathalla, </w:t>
      </w:r>
      <w:r w:rsidRPr="00C3321E">
        <w:t>Shuichi F</w:t>
      </w:r>
      <w:r>
        <w:rPr>
          <w:lang w:val="en-GB"/>
        </w:rPr>
        <w:t>uruya</w:t>
      </w:r>
      <w:r>
        <w:t xml:space="preserve">, Christof Heyns, Bamariam Koita, Marcia V.J. Kran, </w:t>
      </w:r>
      <w:r w:rsidRPr="00E76124">
        <w:rPr>
          <w:lang w:val="en-GB"/>
        </w:rPr>
        <w:t>Duncan Laki M</w:t>
      </w:r>
      <w:r>
        <w:rPr>
          <w:lang w:val="en-GB"/>
        </w:rPr>
        <w:t>uhumuza,</w:t>
      </w:r>
      <w:r w:rsidRPr="00E76124">
        <w:rPr>
          <w:lang w:val="en-GB"/>
        </w:rPr>
        <w:t xml:space="preserve"> </w:t>
      </w:r>
      <w:r>
        <w:t xml:space="preserve">Photini Pazartzis, </w:t>
      </w:r>
      <w:r w:rsidRPr="00C3321E">
        <w:t>Hernán Q</w:t>
      </w:r>
      <w:r>
        <w:rPr>
          <w:lang w:val="en-GB"/>
        </w:rPr>
        <w:t xml:space="preserve">uezada </w:t>
      </w:r>
      <w:r w:rsidRPr="00C3321E">
        <w:t>C</w:t>
      </w:r>
      <w:r>
        <w:rPr>
          <w:lang w:val="en-GB"/>
        </w:rPr>
        <w:t>abrera</w:t>
      </w:r>
      <w:r>
        <w:t xml:space="preserve">, </w:t>
      </w:r>
      <w:r w:rsidRPr="00C3321E">
        <w:t>Vasilka S</w:t>
      </w:r>
      <w:r>
        <w:rPr>
          <w:lang w:val="en-GB"/>
        </w:rPr>
        <w:t xml:space="preserve">ancin, </w:t>
      </w:r>
      <w:r>
        <w:t>José Manuel Santos Pais, Yuval Shany</w:t>
      </w:r>
      <w:r w:rsidR="00AD533C">
        <w:rPr>
          <w:lang w:val="en-GB"/>
        </w:rPr>
        <w:t xml:space="preserve">, </w:t>
      </w:r>
      <w:r w:rsidR="00AD533C" w:rsidRPr="00AD533C">
        <w:rPr>
          <w:lang w:val="en-GB"/>
        </w:rPr>
        <w:t>Hélène T</w:t>
      </w:r>
      <w:r w:rsidR="00AD533C">
        <w:rPr>
          <w:lang w:val="en-GB"/>
        </w:rPr>
        <w:t xml:space="preserve">igroudja, </w:t>
      </w:r>
      <w:r w:rsidR="00AD533C" w:rsidRPr="00AD533C">
        <w:rPr>
          <w:lang w:val="en-GB"/>
        </w:rPr>
        <w:t>Andreas Z</w:t>
      </w:r>
      <w:r w:rsidR="00AD533C">
        <w:rPr>
          <w:lang w:val="en-GB"/>
        </w:rPr>
        <w:t>immermann</w:t>
      </w:r>
      <w:r>
        <w:t xml:space="preserve"> and </w:t>
      </w:r>
      <w:r w:rsidR="00AD533C" w:rsidRPr="00AD533C">
        <w:t>Gentian Z</w:t>
      </w:r>
      <w:r w:rsidR="00AD533C">
        <w:rPr>
          <w:lang w:val="en-GB"/>
        </w:rPr>
        <w:t>yberi</w:t>
      </w:r>
      <w:r w:rsidRPr="004256A1">
        <w:rPr>
          <w:bCs/>
        </w:rPr>
        <w:t>.</w:t>
      </w:r>
    </w:p>
  </w:footnote>
  <w:footnote w:id="4">
    <w:p w14:paraId="57E9BC48" w14:textId="4A74C1BA" w:rsidR="00921C93" w:rsidRPr="00C74807" w:rsidRDefault="00105283" w:rsidP="00921C93">
      <w:pPr>
        <w:pStyle w:val="FootnoteText"/>
        <w:rPr>
          <w:szCs w:val="18"/>
          <w:lang w:val="en-GB"/>
        </w:rPr>
      </w:pPr>
      <w:r w:rsidRPr="00C74807">
        <w:rPr>
          <w:szCs w:val="18"/>
          <w:lang w:val="en-GB"/>
        </w:rPr>
        <w:tab/>
      </w:r>
      <w:r w:rsidR="00921C93" w:rsidRPr="00C74807">
        <w:rPr>
          <w:rStyle w:val="FootnoteReference"/>
          <w:szCs w:val="18"/>
          <w:lang w:val="en-GB"/>
        </w:rPr>
        <w:footnoteRef/>
      </w:r>
      <w:r w:rsidR="00DA78CC">
        <w:rPr>
          <w:szCs w:val="18"/>
          <w:lang w:val="en-GB"/>
        </w:rPr>
        <w:tab/>
      </w:r>
      <w:r w:rsidR="00921C93" w:rsidRPr="00C74807">
        <w:rPr>
          <w:szCs w:val="18"/>
          <w:lang w:val="en-GB"/>
        </w:rPr>
        <w:t xml:space="preserve">The author does not provide </w:t>
      </w:r>
      <w:r w:rsidR="002107CB">
        <w:rPr>
          <w:szCs w:val="18"/>
          <w:lang w:val="en-GB"/>
        </w:rPr>
        <w:t>any</w:t>
      </w:r>
      <w:r w:rsidR="002107CB" w:rsidRPr="00C74807">
        <w:rPr>
          <w:szCs w:val="18"/>
          <w:lang w:val="en-GB"/>
        </w:rPr>
        <w:t xml:space="preserve"> </w:t>
      </w:r>
      <w:r w:rsidR="00921C93" w:rsidRPr="00C74807">
        <w:rPr>
          <w:szCs w:val="18"/>
          <w:lang w:val="en-GB"/>
        </w:rPr>
        <w:t xml:space="preserve">information on the reasons for fleeing </w:t>
      </w:r>
      <w:r w:rsidR="00647391" w:rsidRPr="00647391">
        <w:rPr>
          <w:szCs w:val="18"/>
          <w:lang w:val="en-GB"/>
        </w:rPr>
        <w:t>the Islamic Republic of Iran</w:t>
      </w:r>
      <w:r w:rsidR="00921C93" w:rsidRPr="00C74807">
        <w:rPr>
          <w:szCs w:val="18"/>
          <w:lang w:val="en-GB"/>
        </w:rPr>
        <w:t>.</w:t>
      </w:r>
      <w:r w:rsidR="00A5453B" w:rsidRPr="00C74807">
        <w:rPr>
          <w:lang w:val="en-GB"/>
        </w:rPr>
        <w:t xml:space="preserve"> </w:t>
      </w:r>
      <w:r w:rsidR="002107CB">
        <w:rPr>
          <w:lang w:val="en-GB"/>
        </w:rPr>
        <w:t xml:space="preserve">According to the </w:t>
      </w:r>
      <w:r w:rsidR="00582EF2">
        <w:rPr>
          <w:lang w:val="en-GB"/>
        </w:rPr>
        <w:t>facts presented by the author in the context of national proceedings and</w:t>
      </w:r>
      <w:r w:rsidR="002107CB">
        <w:rPr>
          <w:lang w:val="en-GB"/>
        </w:rPr>
        <w:t xml:space="preserve"> contained in t</w:t>
      </w:r>
      <w:r w:rsidR="00305FE4" w:rsidRPr="00C74807">
        <w:rPr>
          <w:lang w:val="en-GB"/>
        </w:rPr>
        <w:t xml:space="preserve">he decision of </w:t>
      </w:r>
      <w:r w:rsidR="00305FE4" w:rsidRPr="00C74807">
        <w:rPr>
          <w:szCs w:val="18"/>
          <w:lang w:val="en-GB"/>
        </w:rPr>
        <w:t>26 January 1999 of</w:t>
      </w:r>
      <w:r w:rsidR="00A5453B" w:rsidRPr="00C74807">
        <w:rPr>
          <w:szCs w:val="18"/>
          <w:lang w:val="en-GB"/>
        </w:rPr>
        <w:t xml:space="preserve"> the Refugee Appeals Board</w:t>
      </w:r>
      <w:r w:rsidR="002107CB">
        <w:rPr>
          <w:szCs w:val="18"/>
          <w:lang w:val="en-GB"/>
        </w:rPr>
        <w:t>,</w:t>
      </w:r>
      <w:r w:rsidR="00305FE4" w:rsidRPr="00C74807">
        <w:rPr>
          <w:szCs w:val="18"/>
          <w:lang w:val="en-GB"/>
        </w:rPr>
        <w:t xml:space="preserve"> the author worked as a bus driver between </w:t>
      </w:r>
      <w:r w:rsidR="00647391" w:rsidRPr="00647391">
        <w:rPr>
          <w:szCs w:val="18"/>
          <w:lang w:val="en-GB"/>
        </w:rPr>
        <w:t>the Islamic Republic of Iran</w:t>
      </w:r>
      <w:r w:rsidR="00305FE4" w:rsidRPr="00C74807">
        <w:rPr>
          <w:szCs w:val="18"/>
          <w:lang w:val="en-GB"/>
        </w:rPr>
        <w:t xml:space="preserve"> and Syria, </w:t>
      </w:r>
      <w:r w:rsidR="002107CB">
        <w:rPr>
          <w:szCs w:val="18"/>
          <w:lang w:val="en-GB"/>
        </w:rPr>
        <w:t>and in that</w:t>
      </w:r>
      <w:r w:rsidR="00305FE4" w:rsidRPr="00C74807">
        <w:rPr>
          <w:szCs w:val="18"/>
          <w:lang w:val="en-GB"/>
        </w:rPr>
        <w:t xml:space="preserve"> capacity</w:t>
      </w:r>
      <w:r w:rsidR="00582EF2">
        <w:rPr>
          <w:szCs w:val="18"/>
          <w:lang w:val="en-GB"/>
        </w:rPr>
        <w:t>,</w:t>
      </w:r>
      <w:r w:rsidR="00305FE4" w:rsidRPr="00C74807">
        <w:rPr>
          <w:szCs w:val="18"/>
          <w:lang w:val="en-GB"/>
        </w:rPr>
        <w:t xml:space="preserve"> he was also delivering parcels and mail</w:t>
      </w:r>
      <w:r w:rsidR="00FD3B40" w:rsidRPr="00C74807">
        <w:rPr>
          <w:szCs w:val="18"/>
          <w:lang w:val="en-GB"/>
        </w:rPr>
        <w:t xml:space="preserve"> to the Iranian Embassy in Damascus</w:t>
      </w:r>
      <w:r w:rsidR="00305FE4" w:rsidRPr="00C74807">
        <w:rPr>
          <w:szCs w:val="18"/>
          <w:lang w:val="en-GB"/>
        </w:rPr>
        <w:t>. Prior to his last delivery to the Embassy</w:t>
      </w:r>
      <w:r w:rsidR="0043608E" w:rsidRPr="00C74807">
        <w:rPr>
          <w:szCs w:val="18"/>
          <w:lang w:val="en-GB"/>
        </w:rPr>
        <w:t>,</w:t>
      </w:r>
      <w:r w:rsidR="00AC5FA0" w:rsidRPr="00C74807">
        <w:rPr>
          <w:szCs w:val="18"/>
          <w:lang w:val="en-GB"/>
        </w:rPr>
        <w:t xml:space="preserve"> he was told not to share any information as to </w:t>
      </w:r>
      <w:r w:rsidR="00582EF2">
        <w:rPr>
          <w:szCs w:val="18"/>
          <w:lang w:val="en-GB"/>
        </w:rPr>
        <w:t>a</w:t>
      </w:r>
      <w:r w:rsidR="00582EF2" w:rsidRPr="00C74807">
        <w:rPr>
          <w:szCs w:val="18"/>
          <w:lang w:val="en-GB"/>
        </w:rPr>
        <w:t xml:space="preserve"> </w:t>
      </w:r>
      <w:r w:rsidR="00305FE4" w:rsidRPr="00C74807">
        <w:rPr>
          <w:szCs w:val="18"/>
          <w:lang w:val="en-GB"/>
        </w:rPr>
        <w:t>parcel</w:t>
      </w:r>
      <w:r w:rsidR="00AC5FA0" w:rsidRPr="00C74807">
        <w:rPr>
          <w:szCs w:val="18"/>
          <w:lang w:val="en-GB"/>
        </w:rPr>
        <w:t>’s place of delivery</w:t>
      </w:r>
      <w:r w:rsidR="00305FE4" w:rsidRPr="00C74807">
        <w:rPr>
          <w:szCs w:val="18"/>
          <w:lang w:val="en-GB"/>
        </w:rPr>
        <w:t xml:space="preserve"> because it contained weapons</w:t>
      </w:r>
      <w:r w:rsidR="00932142" w:rsidRPr="00C74807">
        <w:rPr>
          <w:szCs w:val="18"/>
          <w:lang w:val="en-GB"/>
        </w:rPr>
        <w:t xml:space="preserve"> and flyers</w:t>
      </w:r>
      <w:r w:rsidR="00305FE4" w:rsidRPr="00C74807">
        <w:rPr>
          <w:szCs w:val="18"/>
          <w:lang w:val="en-GB"/>
        </w:rPr>
        <w:t xml:space="preserve">. </w:t>
      </w:r>
      <w:r w:rsidR="00582EF2">
        <w:rPr>
          <w:szCs w:val="18"/>
          <w:lang w:val="en-GB"/>
        </w:rPr>
        <w:t>O</w:t>
      </w:r>
      <w:r w:rsidR="0043608E" w:rsidRPr="00C74807">
        <w:rPr>
          <w:szCs w:val="18"/>
          <w:lang w:val="en-GB"/>
        </w:rPr>
        <w:t>n 8 March 1998 he was arrested</w:t>
      </w:r>
      <w:r w:rsidR="00305FE4" w:rsidRPr="00C74807">
        <w:rPr>
          <w:szCs w:val="18"/>
          <w:lang w:val="en-GB"/>
        </w:rPr>
        <w:t xml:space="preserve"> by the Syrian police </w:t>
      </w:r>
      <w:r w:rsidR="0043608E" w:rsidRPr="00C74807">
        <w:rPr>
          <w:szCs w:val="18"/>
          <w:lang w:val="en-GB"/>
        </w:rPr>
        <w:t>in connection with the parcels and was put in detention for 25 days, during which he was</w:t>
      </w:r>
      <w:r w:rsidR="00305FE4" w:rsidRPr="00C74807">
        <w:rPr>
          <w:szCs w:val="18"/>
          <w:lang w:val="en-GB"/>
        </w:rPr>
        <w:t xml:space="preserve"> </w:t>
      </w:r>
      <w:r w:rsidR="00CA1A2E" w:rsidRPr="00C74807">
        <w:rPr>
          <w:szCs w:val="18"/>
          <w:lang w:val="en-GB"/>
        </w:rPr>
        <w:t>subjected</w:t>
      </w:r>
      <w:r w:rsidR="0043608E" w:rsidRPr="00C74807">
        <w:rPr>
          <w:szCs w:val="18"/>
          <w:lang w:val="en-GB"/>
        </w:rPr>
        <w:t xml:space="preserve"> to torture</w:t>
      </w:r>
      <w:r w:rsidR="00014D99" w:rsidRPr="00C74807">
        <w:rPr>
          <w:szCs w:val="18"/>
          <w:lang w:val="en-GB"/>
        </w:rPr>
        <w:t xml:space="preserve"> – beaten, kicked in stomach and genitals</w:t>
      </w:r>
      <w:r w:rsidR="0043608E" w:rsidRPr="00C74807">
        <w:rPr>
          <w:szCs w:val="18"/>
          <w:lang w:val="en-GB"/>
        </w:rPr>
        <w:t xml:space="preserve">. </w:t>
      </w:r>
      <w:r w:rsidR="00014D99" w:rsidRPr="00C74807">
        <w:rPr>
          <w:szCs w:val="18"/>
          <w:lang w:val="en-GB"/>
        </w:rPr>
        <w:t xml:space="preserve">He had permanent injuries from the blows that he received: pain in his legs and back. </w:t>
      </w:r>
      <w:r w:rsidR="00CA1A2E" w:rsidRPr="00C74807">
        <w:rPr>
          <w:szCs w:val="18"/>
          <w:lang w:val="en-GB"/>
        </w:rPr>
        <w:t>Two days after his arrest</w:t>
      </w:r>
      <w:r w:rsidR="0043608E" w:rsidRPr="00C74807">
        <w:rPr>
          <w:szCs w:val="18"/>
          <w:lang w:val="en-GB"/>
        </w:rPr>
        <w:t>, the author was contacted by a representative of the Iranian Embassy, who asked him t</w:t>
      </w:r>
      <w:r w:rsidR="00932142" w:rsidRPr="00C74807">
        <w:rPr>
          <w:szCs w:val="18"/>
          <w:lang w:val="en-GB"/>
        </w:rPr>
        <w:t xml:space="preserve">o </w:t>
      </w:r>
      <w:r w:rsidR="00CA1A2E" w:rsidRPr="00C74807">
        <w:rPr>
          <w:szCs w:val="18"/>
          <w:lang w:val="en-GB"/>
        </w:rPr>
        <w:t>declare that the parcels belonged to him</w:t>
      </w:r>
      <w:r w:rsidR="0043608E" w:rsidRPr="00C74807">
        <w:rPr>
          <w:szCs w:val="18"/>
          <w:lang w:val="en-GB"/>
        </w:rPr>
        <w:t xml:space="preserve">, otherwise “it would cost him dearly if he returned to Iran.” He was then </w:t>
      </w:r>
      <w:r w:rsidR="006173BE" w:rsidRPr="00C74807">
        <w:rPr>
          <w:szCs w:val="18"/>
          <w:lang w:val="en-GB"/>
        </w:rPr>
        <w:t>admitted to a hospital in Syria</w:t>
      </w:r>
      <w:r w:rsidR="0043608E" w:rsidRPr="00C74807">
        <w:rPr>
          <w:szCs w:val="18"/>
          <w:lang w:val="en-GB"/>
        </w:rPr>
        <w:t xml:space="preserve"> for 6 days</w:t>
      </w:r>
      <w:r w:rsidR="006173BE" w:rsidRPr="00C74807">
        <w:rPr>
          <w:szCs w:val="18"/>
          <w:lang w:val="en-GB"/>
        </w:rPr>
        <w:t>.</w:t>
      </w:r>
      <w:r w:rsidR="00BA78F0" w:rsidRPr="00C74807">
        <w:rPr>
          <w:szCs w:val="18"/>
          <w:lang w:val="en-GB"/>
        </w:rPr>
        <w:t xml:space="preserve"> </w:t>
      </w:r>
      <w:r w:rsidR="00932142" w:rsidRPr="00C74807">
        <w:rPr>
          <w:szCs w:val="18"/>
          <w:lang w:val="en-GB"/>
        </w:rPr>
        <w:t>Following the</w:t>
      </w:r>
      <w:r w:rsidR="00BA78F0" w:rsidRPr="00C74807">
        <w:rPr>
          <w:szCs w:val="18"/>
          <w:lang w:val="en-GB"/>
        </w:rPr>
        <w:t>s</w:t>
      </w:r>
      <w:r w:rsidR="00932142" w:rsidRPr="00C74807">
        <w:rPr>
          <w:szCs w:val="18"/>
          <w:lang w:val="en-GB"/>
        </w:rPr>
        <w:t>e</w:t>
      </w:r>
      <w:r w:rsidR="00BA78F0" w:rsidRPr="00C74807">
        <w:rPr>
          <w:szCs w:val="18"/>
          <w:lang w:val="en-GB"/>
        </w:rPr>
        <w:t xml:space="preserve"> event</w:t>
      </w:r>
      <w:r w:rsidR="00932142" w:rsidRPr="00C74807">
        <w:rPr>
          <w:szCs w:val="18"/>
          <w:lang w:val="en-GB"/>
        </w:rPr>
        <w:t>s</w:t>
      </w:r>
      <w:r w:rsidR="00BA78F0" w:rsidRPr="00C74807">
        <w:rPr>
          <w:szCs w:val="18"/>
          <w:lang w:val="en-GB"/>
        </w:rPr>
        <w:t xml:space="preserve">, the author was afraid to return to </w:t>
      </w:r>
      <w:r w:rsidR="00647391" w:rsidRPr="00647391">
        <w:rPr>
          <w:szCs w:val="18"/>
          <w:lang w:val="en-GB"/>
        </w:rPr>
        <w:t>the Islamic Republic of Iran</w:t>
      </w:r>
      <w:r w:rsidR="00BA78F0" w:rsidRPr="00C74807">
        <w:rPr>
          <w:szCs w:val="18"/>
          <w:lang w:val="en-GB"/>
        </w:rPr>
        <w:t xml:space="preserve">. Therefore, he escaped from the hospital and </w:t>
      </w:r>
      <w:r w:rsidR="00CA1A2E" w:rsidRPr="00C74807">
        <w:rPr>
          <w:szCs w:val="18"/>
          <w:lang w:val="en-GB"/>
        </w:rPr>
        <w:t>travelled with an agent</w:t>
      </w:r>
      <w:r w:rsidR="00BA78F0" w:rsidRPr="00C74807">
        <w:rPr>
          <w:szCs w:val="18"/>
          <w:lang w:val="en-GB"/>
        </w:rPr>
        <w:t xml:space="preserve"> to Denmark, passing through Istanbul and Hamburg.</w:t>
      </w:r>
    </w:p>
  </w:footnote>
  <w:footnote w:id="5">
    <w:p w14:paraId="3CE8E847" w14:textId="205C2FD9" w:rsidR="00B810B5" w:rsidRPr="00C74807" w:rsidRDefault="00DA78CC">
      <w:pPr>
        <w:pStyle w:val="FootnoteText"/>
        <w:rPr>
          <w:lang w:val="en-GB"/>
        </w:rPr>
      </w:pPr>
      <w:r>
        <w:rPr>
          <w:lang w:val="en-GB"/>
        </w:rPr>
        <w:tab/>
      </w:r>
      <w:r w:rsidR="00B810B5" w:rsidRPr="00C74807">
        <w:rPr>
          <w:rStyle w:val="FootnoteReference"/>
          <w:lang w:val="en-GB"/>
        </w:rPr>
        <w:footnoteRef/>
      </w:r>
      <w:r>
        <w:rPr>
          <w:lang w:val="en-GB"/>
        </w:rPr>
        <w:tab/>
      </w:r>
      <w:r w:rsidR="00556C67">
        <w:rPr>
          <w:lang w:val="en-GB"/>
        </w:rPr>
        <w:t>In support of his request, t</w:t>
      </w:r>
      <w:r w:rsidR="00FE2541" w:rsidRPr="00C74807">
        <w:rPr>
          <w:lang w:val="en-GB"/>
        </w:rPr>
        <w:t xml:space="preserve">he author </w:t>
      </w:r>
      <w:r w:rsidR="00556C67">
        <w:rPr>
          <w:lang w:val="en-GB"/>
        </w:rPr>
        <w:t>produced</w:t>
      </w:r>
      <w:r w:rsidR="00FE2541" w:rsidRPr="00C74807">
        <w:rPr>
          <w:lang w:val="en-GB"/>
        </w:rPr>
        <w:t xml:space="preserve"> an alleged summon dated 31 December 1998 and issued by </w:t>
      </w:r>
      <w:r w:rsidR="00556C67">
        <w:rPr>
          <w:lang w:val="en-GB"/>
        </w:rPr>
        <w:t>the Iranian Ministry of Justice. A</w:t>
      </w:r>
      <w:r w:rsidR="00FE2541" w:rsidRPr="00C74807">
        <w:rPr>
          <w:lang w:val="en-GB"/>
        </w:rPr>
        <w:t xml:space="preserve">ccording to </w:t>
      </w:r>
      <w:r w:rsidR="00556C67">
        <w:rPr>
          <w:lang w:val="en-GB"/>
        </w:rPr>
        <w:t xml:space="preserve">that summons, the author was supposed </w:t>
      </w:r>
      <w:r w:rsidR="00FE2541" w:rsidRPr="00C74807">
        <w:rPr>
          <w:lang w:val="en-GB"/>
        </w:rPr>
        <w:t xml:space="preserve">to appear </w:t>
      </w:r>
      <w:r w:rsidR="00556C67" w:rsidRPr="00C74807">
        <w:rPr>
          <w:lang w:val="en-GB"/>
        </w:rPr>
        <w:t>on 5 January 1999</w:t>
      </w:r>
      <w:r w:rsidR="00556C67">
        <w:rPr>
          <w:lang w:val="en-GB"/>
        </w:rPr>
        <w:t xml:space="preserve"> </w:t>
      </w:r>
      <w:r w:rsidR="00FE2541" w:rsidRPr="00C74807">
        <w:rPr>
          <w:lang w:val="en-GB"/>
        </w:rPr>
        <w:t xml:space="preserve">before the </w:t>
      </w:r>
      <w:r w:rsidR="00582EF2">
        <w:rPr>
          <w:lang w:val="en-GB"/>
        </w:rPr>
        <w:t>Ministry</w:t>
      </w:r>
      <w:r w:rsidR="00556C67">
        <w:rPr>
          <w:lang w:val="en-GB"/>
        </w:rPr>
        <w:t>, in order</w:t>
      </w:r>
      <w:r w:rsidR="00FE2541" w:rsidRPr="00C74807">
        <w:rPr>
          <w:lang w:val="en-GB"/>
        </w:rPr>
        <w:t xml:space="preserve"> to </w:t>
      </w:r>
      <w:r w:rsidR="00582EF2">
        <w:rPr>
          <w:lang w:val="en-GB"/>
        </w:rPr>
        <w:t>declare</w:t>
      </w:r>
      <w:r w:rsidR="00FE2541" w:rsidRPr="00C74807">
        <w:rPr>
          <w:lang w:val="en-GB"/>
        </w:rPr>
        <w:t xml:space="preserve"> on</w:t>
      </w:r>
      <w:r w:rsidR="00582EF2">
        <w:rPr>
          <w:lang w:val="en-GB"/>
        </w:rPr>
        <w:t xml:space="preserve"> his</w:t>
      </w:r>
      <w:r w:rsidR="00FE2541" w:rsidRPr="00C74807">
        <w:rPr>
          <w:lang w:val="en-GB"/>
        </w:rPr>
        <w:t xml:space="preserve"> participation in illegal weapons transportation. The summons was served on the author’s wife on 2 January 1999.</w:t>
      </w:r>
      <w:r w:rsidR="00A30AA7" w:rsidRPr="00C74807">
        <w:rPr>
          <w:lang w:val="en-GB"/>
        </w:rPr>
        <w:t xml:space="preserve"> The Refugee Appeals Board consulted with the Ministry of Foreign Affairs, which </w:t>
      </w:r>
      <w:r w:rsidR="00C6409C" w:rsidRPr="00C74807">
        <w:rPr>
          <w:lang w:val="en-GB"/>
        </w:rPr>
        <w:t>requested verification of the authenticity of that document</w:t>
      </w:r>
      <w:r w:rsidR="00556C67">
        <w:rPr>
          <w:lang w:val="en-GB"/>
        </w:rPr>
        <w:t>,</w:t>
      </w:r>
      <w:r w:rsidR="00C6409C" w:rsidRPr="00C74807">
        <w:rPr>
          <w:lang w:val="en-GB"/>
        </w:rPr>
        <w:t xml:space="preserve"> and then </w:t>
      </w:r>
      <w:r w:rsidR="00A22D0C" w:rsidRPr="00C74807">
        <w:rPr>
          <w:lang w:val="en-GB"/>
        </w:rPr>
        <w:t xml:space="preserve">replied </w:t>
      </w:r>
      <w:r w:rsidR="00A30AA7" w:rsidRPr="00C74807">
        <w:rPr>
          <w:lang w:val="en-GB"/>
        </w:rPr>
        <w:t xml:space="preserve">on 22 March 2000 </w:t>
      </w:r>
      <w:r w:rsidR="00A22D0C" w:rsidRPr="00C74807">
        <w:rPr>
          <w:lang w:val="en-GB"/>
        </w:rPr>
        <w:t>by questioning</w:t>
      </w:r>
      <w:r w:rsidR="00C6409C" w:rsidRPr="00C74807">
        <w:rPr>
          <w:lang w:val="en-GB"/>
        </w:rPr>
        <w:t xml:space="preserve"> the authenticity</w:t>
      </w:r>
      <w:r w:rsidR="006A439E" w:rsidRPr="00C74807">
        <w:rPr>
          <w:lang w:val="en-GB"/>
        </w:rPr>
        <w:t xml:space="preserve"> on several grounds</w:t>
      </w:r>
      <w:r w:rsidR="00A30AA7" w:rsidRPr="00C74807">
        <w:rPr>
          <w:lang w:val="en-GB"/>
        </w:rPr>
        <w:t xml:space="preserve">. </w:t>
      </w:r>
      <w:r w:rsidR="00582EF2">
        <w:rPr>
          <w:lang w:val="en-GB"/>
        </w:rPr>
        <w:t>T</w:t>
      </w:r>
      <w:r w:rsidR="004E2431" w:rsidRPr="00C74807">
        <w:rPr>
          <w:lang w:val="en-GB"/>
        </w:rPr>
        <w:t>he Boa</w:t>
      </w:r>
      <w:r w:rsidR="00B0121F" w:rsidRPr="00C74807">
        <w:rPr>
          <w:lang w:val="en-GB"/>
        </w:rPr>
        <w:t xml:space="preserve">rd </w:t>
      </w:r>
      <w:r w:rsidR="00582EF2">
        <w:rPr>
          <w:lang w:val="en-GB"/>
        </w:rPr>
        <w:t xml:space="preserve">subsequently </w:t>
      </w:r>
      <w:r w:rsidR="00B0121F" w:rsidRPr="00C74807">
        <w:rPr>
          <w:lang w:val="en-GB"/>
        </w:rPr>
        <w:t>dismissed his requests to re</w:t>
      </w:r>
      <w:r w:rsidR="004E2431" w:rsidRPr="00C74807">
        <w:rPr>
          <w:lang w:val="en-GB"/>
        </w:rPr>
        <w:t>open proceedings on 3 July 2000, 6 December 2000, 5 January 2001, 8 September 2004 and 30 November 2005.</w:t>
      </w:r>
    </w:p>
  </w:footnote>
  <w:footnote w:id="6">
    <w:p w14:paraId="4E23C8A1" w14:textId="31E7AE63" w:rsidR="008C6A75" w:rsidRPr="00C74807" w:rsidRDefault="00AD09EC">
      <w:pPr>
        <w:pStyle w:val="FootnoteText"/>
        <w:rPr>
          <w:lang w:val="en-GB"/>
        </w:rPr>
      </w:pPr>
      <w:r>
        <w:rPr>
          <w:lang w:val="en-GB"/>
        </w:rPr>
        <w:tab/>
      </w:r>
      <w:r w:rsidR="008C6A75" w:rsidRPr="00C74807">
        <w:rPr>
          <w:rStyle w:val="FootnoteReference"/>
          <w:lang w:val="en-GB"/>
        </w:rPr>
        <w:footnoteRef/>
      </w:r>
      <w:r w:rsidR="00DA78CC">
        <w:rPr>
          <w:lang w:val="en-GB"/>
        </w:rPr>
        <w:tab/>
      </w:r>
      <w:r w:rsidR="000C2A5A" w:rsidRPr="00C74807">
        <w:rPr>
          <w:lang w:val="en-GB"/>
        </w:rPr>
        <w:t xml:space="preserve">The author </w:t>
      </w:r>
      <w:r w:rsidR="00C917D3">
        <w:rPr>
          <w:lang w:val="en-GB"/>
        </w:rPr>
        <w:t xml:space="preserve">continued to claim </w:t>
      </w:r>
      <w:r w:rsidR="000C2A5A" w:rsidRPr="00C74807">
        <w:rPr>
          <w:lang w:val="en-GB"/>
        </w:rPr>
        <w:t>that he was wanted by the Iranian authorities for smuggling of weapons to the Iranian embassy in Damascus – see footnote 2 above – and added the fact that he had appeared on TV in relation to the hunger strike of asylum seekers</w:t>
      </w:r>
      <w:r w:rsidR="008C6A75" w:rsidRPr="00C74807">
        <w:rPr>
          <w:lang w:val="en-GB"/>
        </w:rPr>
        <w:t>.</w:t>
      </w:r>
    </w:p>
  </w:footnote>
  <w:footnote w:id="7">
    <w:p w14:paraId="4DD4A45A" w14:textId="1BCCB159" w:rsidR="009340FA" w:rsidRPr="00C74807" w:rsidRDefault="009340FA">
      <w:pPr>
        <w:pStyle w:val="FootnoteText"/>
        <w:rPr>
          <w:lang w:val="en-GB"/>
        </w:rPr>
      </w:pPr>
      <w:r w:rsidRPr="00C74807">
        <w:rPr>
          <w:lang w:val="en-GB"/>
        </w:rPr>
        <w:tab/>
      </w:r>
      <w:r w:rsidRPr="00C74807">
        <w:rPr>
          <w:rStyle w:val="FootnoteReference"/>
          <w:lang w:val="en-GB"/>
        </w:rPr>
        <w:footnoteRef/>
      </w:r>
      <w:r w:rsidR="00DA78CC">
        <w:rPr>
          <w:lang w:val="en-GB"/>
        </w:rPr>
        <w:tab/>
      </w:r>
      <w:r w:rsidRPr="00C74807">
        <w:rPr>
          <w:lang w:val="en-GB"/>
        </w:rPr>
        <w:t xml:space="preserve">The Board further observed that the author had </w:t>
      </w:r>
      <w:r w:rsidR="00276D7B" w:rsidRPr="00C74807">
        <w:rPr>
          <w:lang w:val="en-GB"/>
        </w:rPr>
        <w:t xml:space="preserve">declared that </w:t>
      </w:r>
      <w:r w:rsidRPr="00C74807">
        <w:rPr>
          <w:lang w:val="en-GB"/>
        </w:rPr>
        <w:t>his wife had been issued with a false passport. Against this background, the Board found no reasons to gra</w:t>
      </w:r>
      <w:r w:rsidR="00B03699" w:rsidRPr="00C74807">
        <w:rPr>
          <w:lang w:val="en-GB"/>
        </w:rPr>
        <w:t>nt the author’s</w:t>
      </w:r>
      <w:r w:rsidRPr="00C74807">
        <w:rPr>
          <w:lang w:val="en-GB"/>
        </w:rPr>
        <w:t xml:space="preserve"> request for adjourning the case pending a procedure in which the Ministry of Foreign Affairs has the authenticity of summons verified and </w:t>
      </w:r>
      <w:r w:rsidR="00C917D3">
        <w:rPr>
          <w:lang w:val="en-GB"/>
        </w:rPr>
        <w:t>investigates whether a case wa</w:t>
      </w:r>
      <w:r w:rsidR="00E848B3" w:rsidRPr="00C74807">
        <w:rPr>
          <w:lang w:val="en-GB"/>
        </w:rPr>
        <w:t>s pending against the author.</w:t>
      </w:r>
    </w:p>
  </w:footnote>
  <w:footnote w:id="8">
    <w:p w14:paraId="71B1DEB1" w14:textId="70FE35C2" w:rsidR="00FF0F25" w:rsidRPr="00C74807" w:rsidRDefault="00FF0F25">
      <w:pPr>
        <w:pStyle w:val="FootnoteText"/>
        <w:rPr>
          <w:lang w:val="en-GB"/>
        </w:rPr>
      </w:pPr>
      <w:r w:rsidRPr="00C74807">
        <w:rPr>
          <w:lang w:val="en-GB"/>
        </w:rPr>
        <w:tab/>
      </w:r>
      <w:r w:rsidRPr="00C74807">
        <w:rPr>
          <w:rStyle w:val="FootnoteReference"/>
          <w:lang w:val="en-GB"/>
        </w:rPr>
        <w:footnoteRef/>
      </w:r>
      <w:r w:rsidR="00DA78CC">
        <w:rPr>
          <w:lang w:val="en-GB"/>
        </w:rPr>
        <w:tab/>
      </w:r>
      <w:r w:rsidRPr="00C74807">
        <w:rPr>
          <w:lang w:val="en-GB"/>
        </w:rPr>
        <w:t xml:space="preserve">The Board emphasized that the </w:t>
      </w:r>
      <w:r w:rsidR="00356C47" w:rsidRPr="00C74807">
        <w:rPr>
          <w:lang w:val="en-GB"/>
        </w:rPr>
        <w:t xml:space="preserve">TV </w:t>
      </w:r>
      <w:r w:rsidRPr="00C74807">
        <w:rPr>
          <w:lang w:val="en-GB"/>
        </w:rPr>
        <w:t>programme dealt with the conditions o</w:t>
      </w:r>
      <w:r w:rsidR="00D3339F">
        <w:rPr>
          <w:lang w:val="en-GB"/>
        </w:rPr>
        <w:t xml:space="preserve">f refused asylum </w:t>
      </w:r>
      <w:r w:rsidRPr="00C74807">
        <w:rPr>
          <w:lang w:val="en-GB"/>
        </w:rPr>
        <w:t>seekers who had stayed for a long time i</w:t>
      </w:r>
      <w:r w:rsidR="00356C47" w:rsidRPr="00C74807">
        <w:rPr>
          <w:lang w:val="en-GB"/>
        </w:rPr>
        <w:t>n Denmark and that the author</w:t>
      </w:r>
      <w:r w:rsidRPr="00C74807">
        <w:rPr>
          <w:lang w:val="en-GB"/>
        </w:rPr>
        <w:t xml:space="preserve"> had merely talked about his own health conditions and the length of his sta</w:t>
      </w:r>
      <w:r w:rsidR="00356C47" w:rsidRPr="00C74807">
        <w:rPr>
          <w:lang w:val="en-GB"/>
        </w:rPr>
        <w:t>y in Denmark. Thus, the author</w:t>
      </w:r>
      <w:r w:rsidRPr="00C74807">
        <w:rPr>
          <w:lang w:val="en-GB"/>
        </w:rPr>
        <w:t xml:space="preserve"> had not talked about conditions in Iran and had not levelled any criticism at the Iranian authorities.</w:t>
      </w:r>
    </w:p>
  </w:footnote>
  <w:footnote w:id="9">
    <w:p w14:paraId="4FB92FE0" w14:textId="19A8E486" w:rsidR="007F32A5" w:rsidRPr="00C74807" w:rsidRDefault="007F32A5">
      <w:pPr>
        <w:pStyle w:val="FootnoteText"/>
        <w:rPr>
          <w:lang w:val="en-GB"/>
        </w:rPr>
      </w:pPr>
      <w:r w:rsidRPr="00C74807">
        <w:rPr>
          <w:lang w:val="en-GB"/>
        </w:rPr>
        <w:tab/>
      </w:r>
      <w:r w:rsidRPr="00C74807">
        <w:rPr>
          <w:rStyle w:val="FootnoteReference"/>
          <w:lang w:val="en-GB"/>
        </w:rPr>
        <w:footnoteRef/>
      </w:r>
      <w:r w:rsidR="00DA78CC">
        <w:rPr>
          <w:lang w:val="en-GB"/>
        </w:rPr>
        <w:tab/>
      </w:r>
      <w:r w:rsidRPr="00C74807">
        <w:rPr>
          <w:lang w:val="en-GB"/>
        </w:rPr>
        <w:t xml:space="preserve">The Board referred to the existing background information, including the </w:t>
      </w:r>
      <w:r w:rsidRPr="00C74807">
        <w:rPr>
          <w:i/>
          <w:lang w:val="en-GB"/>
        </w:rPr>
        <w:t>Country of Origin Information</w:t>
      </w:r>
      <w:r w:rsidRPr="00C74807">
        <w:rPr>
          <w:lang w:val="en-GB"/>
        </w:rPr>
        <w:t xml:space="preserve"> published by the British Home Office on 4 May 2007, ac</w:t>
      </w:r>
      <w:r w:rsidR="00D3339F">
        <w:rPr>
          <w:lang w:val="en-GB"/>
        </w:rPr>
        <w:t xml:space="preserve">cording to which refused asylum </w:t>
      </w:r>
      <w:r w:rsidRPr="00C74807">
        <w:rPr>
          <w:lang w:val="en-GB"/>
        </w:rPr>
        <w:t>seekers do not face significant problems upon their return except in the case of high-profile individuals</w:t>
      </w:r>
      <w:r w:rsidR="00E55A01" w:rsidRPr="00C74807">
        <w:rPr>
          <w:lang w:val="en-GB"/>
        </w:rPr>
        <w:t xml:space="preserve"> (para 28.13)</w:t>
      </w:r>
      <w:r w:rsidRPr="00C74807">
        <w:rPr>
          <w:lang w:val="en-GB"/>
        </w:rPr>
        <w:t>.</w:t>
      </w:r>
    </w:p>
  </w:footnote>
  <w:footnote w:id="10">
    <w:p w14:paraId="0E6E7CB8" w14:textId="100B9FD0" w:rsidR="00F11D51" w:rsidRPr="00C74807" w:rsidRDefault="00F11D51">
      <w:pPr>
        <w:pStyle w:val="FootnoteText"/>
        <w:rPr>
          <w:lang w:val="en-GB"/>
        </w:rPr>
      </w:pPr>
      <w:r w:rsidRPr="00C74807">
        <w:rPr>
          <w:lang w:val="en-GB"/>
        </w:rPr>
        <w:tab/>
      </w:r>
      <w:r w:rsidRPr="00C74807">
        <w:rPr>
          <w:rStyle w:val="FootnoteReference"/>
          <w:lang w:val="en-GB"/>
        </w:rPr>
        <w:footnoteRef/>
      </w:r>
      <w:r w:rsidR="00DA78CC">
        <w:rPr>
          <w:lang w:val="en-GB"/>
        </w:rPr>
        <w:tab/>
      </w:r>
      <w:r w:rsidRPr="00C74807">
        <w:rPr>
          <w:lang w:val="en-GB"/>
        </w:rPr>
        <w:t>No further details</w:t>
      </w:r>
      <w:r w:rsidR="00582EF2">
        <w:rPr>
          <w:lang w:val="en-GB"/>
        </w:rPr>
        <w:t xml:space="preserve"> are provided</w:t>
      </w:r>
      <w:r w:rsidRPr="00C74807">
        <w:rPr>
          <w:lang w:val="en-GB"/>
        </w:rPr>
        <w:t>.</w:t>
      </w:r>
    </w:p>
  </w:footnote>
  <w:footnote w:id="11">
    <w:p w14:paraId="5E4CFB3E" w14:textId="193FF2D3" w:rsidR="003035EA" w:rsidRPr="00C74807" w:rsidRDefault="00DA78CC" w:rsidP="003035EA">
      <w:pPr>
        <w:pStyle w:val="FootnoteText"/>
        <w:rPr>
          <w:lang w:val="en-GB"/>
        </w:rPr>
      </w:pPr>
      <w:r>
        <w:rPr>
          <w:lang w:val="en-GB"/>
        </w:rPr>
        <w:tab/>
      </w:r>
      <w:r w:rsidR="003035EA" w:rsidRPr="00C74807">
        <w:rPr>
          <w:rStyle w:val="FootnoteReference"/>
          <w:lang w:val="en-GB"/>
        </w:rPr>
        <w:footnoteRef/>
      </w:r>
      <w:r>
        <w:rPr>
          <w:lang w:val="en-GB"/>
        </w:rPr>
        <w:tab/>
      </w:r>
      <w:r w:rsidR="003035EA" w:rsidRPr="00C74807">
        <w:rPr>
          <w:lang w:val="en-GB"/>
        </w:rPr>
        <w:t xml:space="preserve">Para. 12 of the Information provided by the Government of Denmark on the implementation of the concluding observations of the Committee on the Elimination of Racial Discrimination </w:t>
      </w:r>
      <w:r w:rsidR="00CC1592">
        <w:rPr>
          <w:lang w:val="en-GB"/>
        </w:rPr>
        <w:t>(</w:t>
      </w:r>
      <w:r w:rsidR="003035EA" w:rsidRPr="00C74807">
        <w:rPr>
          <w:lang w:val="en-GB"/>
        </w:rPr>
        <w:t>CERD/C/DEN/CO/17/Add.1</w:t>
      </w:r>
      <w:r w:rsidR="00CC1592">
        <w:rPr>
          <w:lang w:val="en-GB"/>
        </w:rPr>
        <w:t>)</w:t>
      </w:r>
      <w:r w:rsidR="003035EA" w:rsidRPr="00C74807">
        <w:rPr>
          <w:lang w:val="en-GB"/>
        </w:rPr>
        <w:t>, 7 December 2007, reads as follows: “Decisions by the Refugee Board are final, which means that it is not possible to appeal the Board’s decisions. This is stated by law and confirmed by a Supreme Court decision of 16 June 1997. The Supreme Court attached importance to the fact that the Refugee Board is an expert board of court-like character. The Supreme Court has since repeated this position in several other judgements (…)”.</w:t>
      </w:r>
    </w:p>
  </w:footnote>
  <w:footnote w:id="12">
    <w:p w14:paraId="4A4F669E" w14:textId="71F62297" w:rsidR="003035EA" w:rsidRPr="00C74807" w:rsidRDefault="00397FDA" w:rsidP="003035EA">
      <w:pPr>
        <w:pStyle w:val="FootnoteText"/>
        <w:rPr>
          <w:lang w:val="en-GB"/>
        </w:rPr>
      </w:pPr>
      <w:r w:rsidRPr="00C74807">
        <w:rPr>
          <w:lang w:val="en-GB"/>
        </w:rPr>
        <w:tab/>
      </w:r>
      <w:r w:rsidR="003035EA" w:rsidRPr="00C74807">
        <w:rPr>
          <w:rStyle w:val="FootnoteReference"/>
          <w:lang w:val="en-GB"/>
        </w:rPr>
        <w:footnoteRef/>
      </w:r>
      <w:r w:rsidR="00DA78CC">
        <w:rPr>
          <w:lang w:val="en-GB"/>
        </w:rPr>
        <w:tab/>
      </w:r>
      <w:r w:rsidR="003035EA" w:rsidRPr="00C74807">
        <w:rPr>
          <w:lang w:val="en-GB"/>
        </w:rPr>
        <w:t>Concluding observations of the Committee on the Elimination of</w:t>
      </w:r>
      <w:r w:rsidR="00E43DDE" w:rsidRPr="00C74807">
        <w:rPr>
          <w:lang w:val="en-GB"/>
        </w:rPr>
        <w:t xml:space="preserve"> Racial Discrimination, Denmark</w:t>
      </w:r>
      <w:r w:rsidR="003035EA" w:rsidRPr="00C74807">
        <w:rPr>
          <w:lang w:val="en-GB"/>
        </w:rPr>
        <w:t xml:space="preserve"> </w:t>
      </w:r>
      <w:r w:rsidR="00E43DDE" w:rsidRPr="00C74807">
        <w:rPr>
          <w:lang w:val="en-GB"/>
        </w:rPr>
        <w:t>(</w:t>
      </w:r>
      <w:r w:rsidR="003035EA" w:rsidRPr="00C74807">
        <w:rPr>
          <w:lang w:val="en-GB"/>
        </w:rPr>
        <w:t>CERD/C/DEN/CO/17</w:t>
      </w:r>
      <w:r w:rsidR="00E43DDE" w:rsidRPr="00C74807">
        <w:rPr>
          <w:lang w:val="en-GB"/>
        </w:rPr>
        <w:t>)</w:t>
      </w:r>
      <w:r w:rsidR="003035EA" w:rsidRPr="00C74807">
        <w:rPr>
          <w:lang w:val="en-GB"/>
        </w:rPr>
        <w:t>, 19 October 2006, para. 13.</w:t>
      </w:r>
    </w:p>
  </w:footnote>
  <w:footnote w:id="13">
    <w:p w14:paraId="6320A738" w14:textId="442F487D" w:rsidR="00CE46EF" w:rsidRPr="00C74807" w:rsidRDefault="001B28BB" w:rsidP="00C30D0B">
      <w:pPr>
        <w:pStyle w:val="FootnoteText"/>
        <w:rPr>
          <w:lang w:val="en-GB"/>
        </w:rPr>
      </w:pPr>
      <w:r w:rsidRPr="00C74807">
        <w:rPr>
          <w:lang w:val="en-GB"/>
        </w:rPr>
        <w:tab/>
      </w:r>
      <w:r w:rsidR="00CE46EF" w:rsidRPr="00C74807">
        <w:rPr>
          <w:rStyle w:val="FootnoteReference"/>
          <w:lang w:val="en-GB"/>
        </w:rPr>
        <w:footnoteRef/>
      </w:r>
      <w:r w:rsidR="00DA78CC">
        <w:rPr>
          <w:lang w:val="en-GB"/>
        </w:rPr>
        <w:tab/>
      </w:r>
      <w:r w:rsidR="00CE46EF" w:rsidRPr="00C74807">
        <w:rPr>
          <w:i/>
          <w:lang w:val="en-GB"/>
        </w:rPr>
        <w:t>Obah Hussein Ahmed v. Denmark</w:t>
      </w:r>
      <w:r w:rsidR="00CE46EF" w:rsidRPr="00C74807">
        <w:rPr>
          <w:lang w:val="en-GB"/>
        </w:rPr>
        <w:t xml:space="preserve"> (CCPR/C/117/D/2379/2014), paras. 4.1-4.3.</w:t>
      </w:r>
    </w:p>
  </w:footnote>
  <w:footnote w:id="14">
    <w:p w14:paraId="76BBF7CA" w14:textId="45B14C5B" w:rsidR="00CE46EF" w:rsidRPr="00C74807" w:rsidRDefault="001B28BB">
      <w:pPr>
        <w:pStyle w:val="FootnoteText"/>
        <w:rPr>
          <w:lang w:val="en-GB"/>
        </w:rPr>
      </w:pPr>
      <w:r w:rsidRPr="00C74807">
        <w:rPr>
          <w:lang w:val="en-GB"/>
        </w:rPr>
        <w:tab/>
      </w:r>
      <w:r w:rsidR="00CE46EF" w:rsidRPr="00C74807">
        <w:rPr>
          <w:rStyle w:val="FootnoteReference"/>
          <w:lang w:val="en-GB"/>
        </w:rPr>
        <w:footnoteRef/>
      </w:r>
      <w:r w:rsidR="00DA78CC">
        <w:rPr>
          <w:lang w:val="en-GB"/>
        </w:rPr>
        <w:tab/>
      </w:r>
      <w:r w:rsidR="00E43DDE" w:rsidRPr="00C74807">
        <w:rPr>
          <w:lang w:val="en-GB"/>
        </w:rPr>
        <w:t>S</w:t>
      </w:r>
      <w:r w:rsidR="00CE46EF" w:rsidRPr="00C74807">
        <w:rPr>
          <w:lang w:val="en-GB"/>
        </w:rPr>
        <w:t>ections 7(1) − (3) and</w:t>
      </w:r>
      <w:r w:rsidRPr="00C74807">
        <w:rPr>
          <w:lang w:val="en-GB"/>
        </w:rPr>
        <w:t xml:space="preserve"> 31</w:t>
      </w:r>
      <w:r w:rsidR="00CE46EF" w:rsidRPr="00C74807">
        <w:rPr>
          <w:lang w:val="en-GB"/>
        </w:rPr>
        <w:t>(1) and (2) of the Aliens Act.</w:t>
      </w:r>
    </w:p>
  </w:footnote>
  <w:footnote w:id="15">
    <w:p w14:paraId="241E0888" w14:textId="29EFD392" w:rsidR="00CE46EF" w:rsidRPr="00C74807" w:rsidRDefault="000E1E05">
      <w:pPr>
        <w:pStyle w:val="FootnoteText"/>
        <w:rPr>
          <w:lang w:val="en-GB"/>
        </w:rPr>
      </w:pPr>
      <w:r w:rsidRPr="00C74807">
        <w:rPr>
          <w:lang w:val="en-GB"/>
        </w:rPr>
        <w:tab/>
      </w:r>
      <w:r w:rsidR="00CE46EF" w:rsidRPr="00C74807">
        <w:rPr>
          <w:rStyle w:val="FootnoteReference"/>
          <w:lang w:val="en-GB"/>
        </w:rPr>
        <w:footnoteRef/>
      </w:r>
      <w:r w:rsidR="00DA78CC" w:rsidRPr="00E71D14">
        <w:rPr>
          <w:lang w:val="es-ES"/>
        </w:rPr>
        <w:tab/>
      </w:r>
      <w:r w:rsidR="00CE46EF" w:rsidRPr="00E71D14">
        <w:rPr>
          <w:i/>
          <w:lang w:val="es-ES"/>
        </w:rPr>
        <w:t>X. v. Denmark</w:t>
      </w:r>
      <w:r w:rsidR="00CE46EF" w:rsidRPr="00E71D14">
        <w:rPr>
          <w:lang w:val="es-ES"/>
        </w:rPr>
        <w:t xml:space="preserve"> (CCPR/C/110/D/2007/2010), para. </w:t>
      </w:r>
      <w:r w:rsidR="00CE46EF" w:rsidRPr="00C74807">
        <w:rPr>
          <w:lang w:val="en-GB"/>
        </w:rPr>
        <w:t xml:space="preserve">8.5, and </w:t>
      </w:r>
      <w:r w:rsidR="00CE46EF" w:rsidRPr="00C74807">
        <w:rPr>
          <w:i/>
          <w:lang w:val="en-GB"/>
        </w:rPr>
        <w:t>Mr. X and Ms. X v. Denmark</w:t>
      </w:r>
      <w:r w:rsidR="00CE46EF" w:rsidRPr="00C74807">
        <w:rPr>
          <w:lang w:val="en-GB"/>
        </w:rPr>
        <w:t xml:space="preserve"> (CCPR/C/112/D/2186/2012), para. 6.3.</w:t>
      </w:r>
    </w:p>
  </w:footnote>
  <w:footnote w:id="16">
    <w:p w14:paraId="2F39FE88" w14:textId="46A6C071" w:rsidR="00CE46EF" w:rsidRPr="00C74807" w:rsidRDefault="004D1A56" w:rsidP="00264B40">
      <w:pPr>
        <w:pStyle w:val="FootnoteText"/>
        <w:rPr>
          <w:lang w:val="en-GB"/>
        </w:rPr>
      </w:pPr>
      <w:r w:rsidRPr="00C74807">
        <w:rPr>
          <w:lang w:val="en-GB"/>
        </w:rPr>
        <w:tab/>
      </w:r>
      <w:r w:rsidR="00CE46EF" w:rsidRPr="00C74807">
        <w:rPr>
          <w:rStyle w:val="FootnoteReference"/>
          <w:lang w:val="en-GB"/>
        </w:rPr>
        <w:footnoteRef/>
      </w:r>
      <w:r w:rsidR="00DA78CC">
        <w:rPr>
          <w:lang w:val="en-GB"/>
        </w:rPr>
        <w:tab/>
      </w:r>
      <w:r w:rsidR="00CE46EF" w:rsidRPr="00C74807">
        <w:rPr>
          <w:i/>
          <w:lang w:val="en-GB"/>
        </w:rPr>
        <w:t>A.A.I. and A.H.A. v. Denmark</w:t>
      </w:r>
      <w:r w:rsidR="00CE46EF" w:rsidRPr="00C74807">
        <w:rPr>
          <w:lang w:val="en-GB"/>
        </w:rPr>
        <w:t xml:space="preserve"> (CCPR/C/116/D/2402/2014), para. 6.5, and </w:t>
      </w:r>
      <w:r w:rsidR="00CE46EF" w:rsidRPr="00C74807">
        <w:rPr>
          <w:i/>
          <w:lang w:val="en-GB"/>
        </w:rPr>
        <w:t>X. v. Denmark</w:t>
      </w:r>
      <w:r w:rsidR="00CE46EF" w:rsidRPr="00C74807">
        <w:rPr>
          <w:lang w:val="en-GB"/>
        </w:rPr>
        <w:t>, para. 9.2.</w:t>
      </w:r>
    </w:p>
  </w:footnote>
  <w:footnote w:id="17">
    <w:p w14:paraId="5EE678ED" w14:textId="7AEA0A87" w:rsidR="008D2E82" w:rsidRPr="00C74807" w:rsidRDefault="008D2E82">
      <w:pPr>
        <w:pStyle w:val="FootnoteText"/>
        <w:rPr>
          <w:lang w:val="en-GB"/>
        </w:rPr>
      </w:pPr>
      <w:r w:rsidRPr="00C74807">
        <w:rPr>
          <w:lang w:val="en-GB"/>
        </w:rPr>
        <w:tab/>
      </w:r>
      <w:r w:rsidRPr="00C74807">
        <w:rPr>
          <w:rStyle w:val="FootnoteReference"/>
          <w:lang w:val="en-GB"/>
        </w:rPr>
        <w:footnoteRef/>
      </w:r>
      <w:r w:rsidR="00DA78CC">
        <w:rPr>
          <w:lang w:val="en-GB"/>
        </w:rPr>
        <w:tab/>
      </w:r>
      <w:r w:rsidR="00C12874" w:rsidRPr="00C74807">
        <w:rPr>
          <w:lang w:val="en-GB"/>
        </w:rPr>
        <w:t>A</w:t>
      </w:r>
      <w:r w:rsidRPr="00C74807">
        <w:rPr>
          <w:lang w:val="en-GB"/>
        </w:rPr>
        <w:t>sylum proceedings have also been reopened following a specific and individual assessment of new information provided about an asylum</w:t>
      </w:r>
      <w:r w:rsidR="003A4616">
        <w:rPr>
          <w:lang w:val="en-GB"/>
        </w:rPr>
        <w:t xml:space="preserve"> </w:t>
      </w:r>
      <w:r w:rsidRPr="00C74807">
        <w:rPr>
          <w:lang w:val="en-GB"/>
        </w:rPr>
        <w:t>seeker’s conversion in connection with a complaint to the Committee.</w:t>
      </w:r>
    </w:p>
  </w:footnote>
  <w:footnote w:id="18">
    <w:p w14:paraId="4ABA0DEA" w14:textId="277850FA" w:rsidR="005604AB" w:rsidRPr="00C74807" w:rsidRDefault="005604AB">
      <w:pPr>
        <w:pStyle w:val="FootnoteText"/>
        <w:rPr>
          <w:lang w:val="en-GB"/>
        </w:rPr>
      </w:pPr>
      <w:r w:rsidRPr="00C74807">
        <w:rPr>
          <w:lang w:val="en-GB"/>
        </w:rPr>
        <w:tab/>
      </w:r>
      <w:r w:rsidRPr="00C74807">
        <w:rPr>
          <w:rStyle w:val="FootnoteReference"/>
          <w:lang w:val="en-GB"/>
        </w:rPr>
        <w:footnoteRef/>
      </w:r>
      <w:r w:rsidR="00DA78CC" w:rsidRPr="00E71D14">
        <w:rPr>
          <w:lang w:val="es-ES"/>
        </w:rPr>
        <w:tab/>
      </w:r>
      <w:r w:rsidRPr="00E71D14">
        <w:rPr>
          <w:i/>
          <w:lang w:val="es-ES"/>
        </w:rPr>
        <w:t>X v. Denmark</w:t>
      </w:r>
      <w:r w:rsidRPr="00E71D14">
        <w:rPr>
          <w:lang w:val="es-ES"/>
        </w:rPr>
        <w:t xml:space="preserve"> (CCPR/C/113/D/2515/2014), para. </w:t>
      </w:r>
      <w:r w:rsidRPr="00C74807">
        <w:rPr>
          <w:lang w:val="en-GB"/>
        </w:rPr>
        <w:t>4.3.</w:t>
      </w:r>
    </w:p>
  </w:footnote>
  <w:footnote w:id="19">
    <w:p w14:paraId="5EB4A079" w14:textId="6709E295" w:rsidR="00CE46EF" w:rsidRPr="00C74807" w:rsidRDefault="002C7687" w:rsidP="00264B40">
      <w:pPr>
        <w:pStyle w:val="FootnoteText"/>
        <w:rPr>
          <w:lang w:val="en-GB"/>
        </w:rPr>
      </w:pPr>
      <w:r w:rsidRPr="00C74807">
        <w:rPr>
          <w:lang w:val="en-GB"/>
        </w:rPr>
        <w:tab/>
      </w:r>
      <w:r w:rsidR="00CE46EF" w:rsidRPr="00C74807">
        <w:rPr>
          <w:rStyle w:val="FootnoteReference"/>
          <w:lang w:val="en-GB"/>
        </w:rPr>
        <w:footnoteRef/>
      </w:r>
      <w:r w:rsidR="00DA78CC">
        <w:rPr>
          <w:lang w:val="en-GB"/>
        </w:rPr>
        <w:tab/>
      </w:r>
      <w:r w:rsidR="00CE46EF" w:rsidRPr="00C74807">
        <w:rPr>
          <w:i/>
          <w:lang w:val="en-GB"/>
        </w:rPr>
        <w:t>Maroufidou v. Sweden</w:t>
      </w:r>
      <w:r w:rsidR="00CE46EF" w:rsidRPr="00C74807">
        <w:rPr>
          <w:lang w:val="en-GB"/>
        </w:rPr>
        <w:t xml:space="preserve"> (CCPR/C/12/D/58/1979).</w:t>
      </w:r>
    </w:p>
  </w:footnote>
  <w:footnote w:id="20">
    <w:p w14:paraId="527D3353" w14:textId="533F334D" w:rsidR="00B0121F" w:rsidRPr="00C74807" w:rsidRDefault="00B0121F">
      <w:pPr>
        <w:pStyle w:val="FootnoteText"/>
        <w:rPr>
          <w:lang w:val="en-GB"/>
        </w:rPr>
      </w:pPr>
      <w:r w:rsidRPr="00C74807">
        <w:rPr>
          <w:lang w:val="en-GB"/>
        </w:rPr>
        <w:tab/>
      </w:r>
      <w:r w:rsidRPr="00C74807">
        <w:rPr>
          <w:rStyle w:val="FootnoteReference"/>
          <w:lang w:val="en-GB"/>
        </w:rPr>
        <w:footnoteRef/>
      </w:r>
      <w:r w:rsidR="00DA78CC">
        <w:rPr>
          <w:lang w:val="en-GB"/>
        </w:rPr>
        <w:tab/>
      </w:r>
      <w:r w:rsidRPr="00C74807">
        <w:rPr>
          <w:lang w:val="en-GB"/>
        </w:rPr>
        <w:t>No further mention of article 14.</w:t>
      </w:r>
    </w:p>
  </w:footnote>
  <w:footnote w:id="21">
    <w:p w14:paraId="2826CA2D" w14:textId="34F0FA6F" w:rsidR="002C5584" w:rsidRPr="00C74807" w:rsidRDefault="002C5584">
      <w:pPr>
        <w:pStyle w:val="FootnoteText"/>
        <w:rPr>
          <w:lang w:val="en-GB"/>
        </w:rPr>
      </w:pPr>
      <w:r w:rsidRPr="00C74807">
        <w:rPr>
          <w:lang w:val="en-GB"/>
        </w:rPr>
        <w:tab/>
      </w:r>
      <w:r w:rsidRPr="00C74807">
        <w:rPr>
          <w:rStyle w:val="FootnoteReference"/>
          <w:lang w:val="en-GB"/>
        </w:rPr>
        <w:footnoteRef/>
      </w:r>
      <w:r w:rsidR="00DA78CC">
        <w:rPr>
          <w:lang w:val="en-GB"/>
        </w:rPr>
        <w:tab/>
      </w:r>
      <w:r w:rsidR="003F757F" w:rsidRPr="003F757F">
        <w:rPr>
          <w:lang w:val="en-GB"/>
        </w:rPr>
        <w:t>European Court of Human Rights</w:t>
      </w:r>
      <w:r w:rsidR="003F757F">
        <w:rPr>
          <w:lang w:val="en-GB"/>
        </w:rPr>
        <w:t>,</w:t>
      </w:r>
      <w:r w:rsidR="003F757F" w:rsidRPr="003F757F">
        <w:rPr>
          <w:lang w:val="en-GB"/>
        </w:rPr>
        <w:t xml:space="preserve"> </w:t>
      </w:r>
      <w:r w:rsidRPr="00C74807">
        <w:rPr>
          <w:i/>
          <w:lang w:val="en-GB"/>
        </w:rPr>
        <w:t>F.G. v. Sweden</w:t>
      </w:r>
      <w:r w:rsidRPr="00C74807">
        <w:rPr>
          <w:lang w:val="en-GB"/>
        </w:rPr>
        <w:t xml:space="preserve"> [GC], no. 43611/11, 23 March 2016.</w:t>
      </w:r>
    </w:p>
  </w:footnote>
  <w:footnote w:id="22">
    <w:p w14:paraId="7326DDB6" w14:textId="2B6E5748" w:rsidR="00CE46EF" w:rsidRPr="00C74807" w:rsidRDefault="002C394A" w:rsidP="00264B40">
      <w:pPr>
        <w:pStyle w:val="FootnoteText"/>
        <w:rPr>
          <w:lang w:val="en-GB"/>
        </w:rPr>
      </w:pPr>
      <w:r>
        <w:rPr>
          <w:lang w:val="en-GB"/>
        </w:rPr>
        <w:tab/>
      </w:r>
      <w:r w:rsidR="00CE46EF" w:rsidRPr="00C74807">
        <w:rPr>
          <w:rStyle w:val="FootnoteReference"/>
          <w:lang w:val="en-GB"/>
        </w:rPr>
        <w:footnoteRef/>
      </w:r>
      <w:r w:rsidR="00DA78CC">
        <w:rPr>
          <w:lang w:val="en-GB"/>
        </w:rPr>
        <w:tab/>
      </w:r>
      <w:r w:rsidR="006001E7" w:rsidRPr="00C74807">
        <w:rPr>
          <w:lang w:val="en-GB"/>
        </w:rPr>
        <w:t>The author’s counsel refers to other similar cases that he has brought against Denmark, which were submitted to the Committee and were subsequently discontinued.</w:t>
      </w:r>
    </w:p>
  </w:footnote>
  <w:footnote w:id="23">
    <w:p w14:paraId="35148641" w14:textId="465608B9" w:rsidR="00A95B85" w:rsidRPr="00C74807" w:rsidRDefault="00A95B85" w:rsidP="00A95B85">
      <w:pPr>
        <w:pStyle w:val="FootnoteText"/>
        <w:rPr>
          <w:lang w:val="en-GB"/>
        </w:rPr>
      </w:pPr>
      <w:r w:rsidRPr="00C74807">
        <w:rPr>
          <w:lang w:val="en-GB"/>
        </w:rPr>
        <w:tab/>
      </w:r>
      <w:r w:rsidRPr="00C74807">
        <w:rPr>
          <w:rStyle w:val="FootnoteReference"/>
          <w:lang w:val="en-GB"/>
        </w:rPr>
        <w:footnoteRef/>
      </w:r>
      <w:r w:rsidRPr="00E71D14">
        <w:rPr>
          <w:lang w:val="es-ES"/>
        </w:rPr>
        <w:tab/>
      </w:r>
      <w:r w:rsidRPr="00E71D14">
        <w:rPr>
          <w:i/>
          <w:lang w:val="es-ES"/>
        </w:rPr>
        <w:t>X v. Norway</w:t>
      </w:r>
      <w:r w:rsidRPr="00E71D14">
        <w:rPr>
          <w:lang w:val="es-ES"/>
        </w:rPr>
        <w:t xml:space="preserve"> (CCPR/C/115/D/2474/2014), para. </w:t>
      </w:r>
      <w:r w:rsidRPr="00C74807">
        <w:rPr>
          <w:lang w:val="en-GB"/>
        </w:rPr>
        <w:t>7.6.</w:t>
      </w:r>
    </w:p>
  </w:footnote>
  <w:footnote w:id="24">
    <w:p w14:paraId="6F6F3E42" w14:textId="77777777" w:rsidR="005A3695" w:rsidRPr="00C74807" w:rsidRDefault="005A3695">
      <w:pPr>
        <w:pStyle w:val="FootnoteText"/>
        <w:rPr>
          <w:lang w:val="en-GB"/>
        </w:rPr>
      </w:pPr>
      <w:r w:rsidRPr="00C74807">
        <w:rPr>
          <w:lang w:val="en-GB"/>
        </w:rPr>
        <w:tab/>
      </w:r>
      <w:r w:rsidRPr="00C74807">
        <w:rPr>
          <w:rStyle w:val="FootnoteReference"/>
          <w:lang w:val="en-GB"/>
        </w:rPr>
        <w:footnoteRef/>
      </w:r>
      <w:r w:rsidRPr="00C74807">
        <w:rPr>
          <w:lang w:val="en-GB"/>
        </w:rPr>
        <w:tab/>
        <w:t>Section 53(12) of the Aliens Act and rule 48 of the Rules of Procedure of the Refugee Appeals Board.</w:t>
      </w:r>
    </w:p>
  </w:footnote>
  <w:footnote w:id="25">
    <w:p w14:paraId="19B4513B" w14:textId="77777777" w:rsidR="008610F6" w:rsidRPr="00E71D14" w:rsidRDefault="008610F6" w:rsidP="008610F6">
      <w:pPr>
        <w:pStyle w:val="FootnoteText"/>
        <w:rPr>
          <w:lang w:val="es-ES"/>
        </w:rPr>
      </w:pPr>
      <w:r w:rsidRPr="00C74807">
        <w:rPr>
          <w:lang w:val="en-GB"/>
        </w:rPr>
        <w:tab/>
      </w:r>
      <w:r w:rsidRPr="00C74807">
        <w:rPr>
          <w:rStyle w:val="FootnoteReference"/>
          <w:lang w:val="en-GB"/>
        </w:rPr>
        <w:footnoteRef/>
      </w:r>
      <w:r w:rsidRPr="000E71C9">
        <w:rPr>
          <w:lang w:val="es-ES"/>
        </w:rPr>
        <w:tab/>
      </w:r>
      <w:r w:rsidRPr="000E71C9">
        <w:rPr>
          <w:i/>
          <w:lang w:val="es-ES"/>
        </w:rPr>
        <w:t>P.T. v. Denmark</w:t>
      </w:r>
      <w:r w:rsidRPr="000E71C9">
        <w:rPr>
          <w:lang w:val="es-ES"/>
        </w:rPr>
        <w:t xml:space="preserve"> (CCPR/C/113/D/2272/2013), para. 7.3; </w:t>
      </w:r>
      <w:r w:rsidRPr="000E71C9">
        <w:rPr>
          <w:i/>
          <w:lang w:val="es-ES"/>
        </w:rPr>
        <w:t>N. v. Denmark</w:t>
      </w:r>
      <w:r w:rsidRPr="000E71C9">
        <w:rPr>
          <w:lang w:val="es-ES"/>
        </w:rPr>
        <w:t xml:space="preserve"> (CCPR/C/114/D/2426/2014), para. </w:t>
      </w:r>
      <w:r w:rsidRPr="00C74807">
        <w:rPr>
          <w:lang w:val="en-GB"/>
        </w:rPr>
        <w:t>6.6;</w:t>
      </w:r>
      <w:r w:rsidR="00C74807" w:rsidRPr="00C74807">
        <w:rPr>
          <w:lang w:val="en-GB"/>
        </w:rPr>
        <w:t xml:space="preserve"> </w:t>
      </w:r>
      <w:r w:rsidRPr="00C74807">
        <w:rPr>
          <w:i/>
          <w:lang w:val="en-GB"/>
        </w:rPr>
        <w:t>K. v. Denmark</w:t>
      </w:r>
      <w:r w:rsidRPr="00C74807">
        <w:rPr>
          <w:lang w:val="en-GB"/>
        </w:rPr>
        <w:t xml:space="preserve"> (CCPR/C/114/D/2393/2014), paras. 7.4 and 7.5; </w:t>
      </w:r>
      <w:r w:rsidRPr="00C74807">
        <w:rPr>
          <w:i/>
          <w:lang w:val="en-GB"/>
        </w:rPr>
        <w:t>Mr. X and Ms. X v. Denmark</w:t>
      </w:r>
      <w:r w:rsidRPr="00C74807">
        <w:rPr>
          <w:lang w:val="en-GB"/>
        </w:rPr>
        <w:t xml:space="preserve">, para. </w:t>
      </w:r>
      <w:r w:rsidRPr="00E71D14">
        <w:rPr>
          <w:lang w:val="es-ES"/>
        </w:rPr>
        <w:t xml:space="preserve">7.5; and </w:t>
      </w:r>
      <w:r w:rsidRPr="00E71D14">
        <w:rPr>
          <w:i/>
          <w:lang w:val="es-ES"/>
        </w:rPr>
        <w:t>Z v. Denmark</w:t>
      </w:r>
      <w:r w:rsidRPr="00E71D14">
        <w:rPr>
          <w:lang w:val="es-ES"/>
        </w:rPr>
        <w:t xml:space="preserve"> (CCPR/C/114/D/2329/2014), para. 7.4.</w:t>
      </w:r>
    </w:p>
  </w:footnote>
  <w:footnote w:id="26">
    <w:p w14:paraId="395E4291" w14:textId="77777777" w:rsidR="00DB256F" w:rsidRPr="00B05B3C" w:rsidRDefault="00DB256F" w:rsidP="00DB256F">
      <w:pPr>
        <w:pStyle w:val="FootnoteText"/>
      </w:pPr>
      <w:r w:rsidRPr="00B05B3C">
        <w:rPr>
          <w:lang w:val="es-ES"/>
        </w:rPr>
        <w:tab/>
      </w:r>
      <w:r w:rsidRPr="000767D8">
        <w:rPr>
          <w:rStyle w:val="FootnoteReference"/>
        </w:rPr>
        <w:footnoteRef/>
      </w:r>
      <w:r w:rsidRPr="00B05B3C">
        <w:rPr>
          <w:lang w:val="es-ES"/>
        </w:rPr>
        <w:tab/>
      </w:r>
      <w:r>
        <w:rPr>
          <w:lang w:val="es-ES"/>
        </w:rPr>
        <w:t xml:space="preserve">See </w:t>
      </w:r>
      <w:r w:rsidRPr="00B05B3C">
        <w:rPr>
          <w:i/>
          <w:lang w:val="es-ES"/>
        </w:rPr>
        <w:t>P.K. v. Canada</w:t>
      </w:r>
      <w:r w:rsidRPr="00B05B3C">
        <w:rPr>
          <w:lang w:val="es-ES"/>
        </w:rPr>
        <w:t xml:space="preserve"> (CCPR/C/89/D/1234/2003), paras. </w:t>
      </w:r>
      <w:r w:rsidRPr="00B05B3C">
        <w:t>7.4 and 7.5.</w:t>
      </w:r>
    </w:p>
  </w:footnote>
  <w:footnote w:id="27">
    <w:p w14:paraId="702C8CF0" w14:textId="77777777" w:rsidR="00DB256F" w:rsidRPr="00B05B3C" w:rsidRDefault="00DB256F" w:rsidP="00DB256F">
      <w:pPr>
        <w:pStyle w:val="FootnoteText"/>
      </w:pPr>
      <w:r w:rsidRPr="00B05B3C">
        <w:tab/>
      </w:r>
      <w:r w:rsidRPr="000767D8">
        <w:rPr>
          <w:rStyle w:val="FootnoteReference"/>
        </w:rPr>
        <w:footnoteRef/>
      </w:r>
      <w:r w:rsidRPr="00B05B3C">
        <w:tab/>
      </w:r>
      <w:r>
        <w:t xml:space="preserve">See </w:t>
      </w:r>
      <w:r w:rsidRPr="00B05B3C">
        <w:rPr>
          <w:i/>
        </w:rPr>
        <w:t>Omo-Amenaghawon v. Denmark</w:t>
      </w:r>
      <w:r w:rsidRPr="00B05B3C">
        <w:t xml:space="preserve"> (CCPR/C/114/D/2288/2013), para. 6.4</w:t>
      </w:r>
      <w:r>
        <w:t>;</w:t>
      </w:r>
      <w:r w:rsidRPr="00B05B3C">
        <w:t xml:space="preserve"> and </w:t>
      </w:r>
      <w:r>
        <w:t xml:space="preserve">the Committee’s </w:t>
      </w:r>
      <w:r w:rsidRPr="00B05B3C">
        <w:t>general comment No. 32 (2007) on the right to equality before courts and tribunals and to a fair trial, paras. 17 and 62.</w:t>
      </w:r>
    </w:p>
  </w:footnote>
  <w:footnote w:id="28">
    <w:p w14:paraId="22790362" w14:textId="1D2686FA" w:rsidR="00DB256F" w:rsidRPr="00DB256F" w:rsidRDefault="00DB256F" w:rsidP="00DB256F">
      <w:pPr>
        <w:pStyle w:val="FootnoteText"/>
        <w:rPr>
          <w:lang w:val="en-GB"/>
        </w:rPr>
      </w:pPr>
      <w:r>
        <w:tab/>
      </w:r>
      <w:r>
        <w:rPr>
          <w:rStyle w:val="FootnoteReference"/>
        </w:rPr>
        <w:footnoteRef/>
      </w:r>
      <w:r>
        <w:tab/>
      </w:r>
      <w:r w:rsidRPr="00DB256F">
        <w:rPr>
          <w:i/>
          <w:lang w:val="en-GB"/>
        </w:rPr>
        <w:t>K.H. v. Denmark</w:t>
      </w:r>
      <w:r w:rsidRPr="00DB256F">
        <w:rPr>
          <w:lang w:val="en-GB"/>
        </w:rPr>
        <w:t xml:space="preserve"> </w:t>
      </w:r>
      <w:r>
        <w:t>(</w:t>
      </w:r>
      <w:r w:rsidRPr="00DB256F">
        <w:t>CCPR/C/123/D/2423/2014</w:t>
      </w:r>
      <w:r w:rsidRPr="00DB256F">
        <w:rPr>
          <w:lang w:val="en-GB"/>
        </w:rPr>
        <w:t xml:space="preserve">), para. </w:t>
      </w:r>
      <w:r>
        <w:rPr>
          <w:lang w:val="en-GB"/>
        </w:rPr>
        <w:t>7.5.</w:t>
      </w:r>
    </w:p>
  </w:footnote>
  <w:footnote w:id="29">
    <w:p w14:paraId="639FE324" w14:textId="77777777" w:rsidR="003E4627" w:rsidRPr="00B05B3C" w:rsidRDefault="003E4627" w:rsidP="003E4627">
      <w:pPr>
        <w:pStyle w:val="FootnoteText"/>
      </w:pPr>
      <w:r w:rsidRPr="00B05B3C">
        <w:tab/>
      </w:r>
      <w:r w:rsidRPr="000767D8">
        <w:rPr>
          <w:rStyle w:val="FootnoteReference"/>
        </w:rPr>
        <w:footnoteRef/>
      </w:r>
      <w:r w:rsidRPr="00B05B3C">
        <w:tab/>
      </w:r>
      <w:r>
        <w:t xml:space="preserve">See </w:t>
      </w:r>
      <w:r w:rsidRPr="00B05B3C">
        <w:rPr>
          <w:i/>
        </w:rPr>
        <w:t>K. v. Denmark</w:t>
      </w:r>
      <w:r w:rsidRPr="00B05B3C">
        <w:t xml:space="preserve">, para. 7.3; </w:t>
      </w:r>
      <w:r w:rsidRPr="00B05B3C">
        <w:rPr>
          <w:i/>
        </w:rPr>
        <w:t>P.T. v. Denmark</w:t>
      </w:r>
      <w:r w:rsidRPr="00B05B3C">
        <w:t xml:space="preserve">, para. 7.2; and </w:t>
      </w:r>
      <w:r w:rsidRPr="00B05B3C">
        <w:rPr>
          <w:i/>
        </w:rPr>
        <w:t>X v. Denmark</w:t>
      </w:r>
      <w:r w:rsidRPr="00B05B3C">
        <w:t>, para. 9.2.</w:t>
      </w:r>
    </w:p>
  </w:footnote>
  <w:footnote w:id="30">
    <w:p w14:paraId="07D9BEC3" w14:textId="77777777" w:rsidR="003E4627" w:rsidRPr="00B05B3C" w:rsidRDefault="003E4627" w:rsidP="003E4627">
      <w:pPr>
        <w:pStyle w:val="FootnoteText"/>
      </w:pPr>
      <w:r w:rsidRPr="00B05B3C">
        <w:tab/>
      </w:r>
      <w:r w:rsidRPr="000767D8">
        <w:rPr>
          <w:rStyle w:val="FootnoteReference"/>
        </w:rPr>
        <w:footnoteRef/>
      </w:r>
      <w:r w:rsidRPr="00B05B3C">
        <w:tab/>
      </w:r>
      <w:r>
        <w:t xml:space="preserve">See </w:t>
      </w:r>
      <w:r w:rsidRPr="00B05B3C">
        <w:rPr>
          <w:i/>
        </w:rPr>
        <w:t>X v. Sweden</w:t>
      </w:r>
      <w:r w:rsidRPr="00B05B3C">
        <w:t xml:space="preserve"> (CCPR/C/103/D/1833/2008), para. 5.18.</w:t>
      </w:r>
    </w:p>
  </w:footnote>
  <w:footnote w:id="31">
    <w:p w14:paraId="4777FAC8" w14:textId="77777777" w:rsidR="003E4627" w:rsidRPr="00B05B3C" w:rsidRDefault="003E4627" w:rsidP="003E4627">
      <w:pPr>
        <w:pStyle w:val="FootnoteText"/>
        <w:rPr>
          <w:lang w:val="es-ES"/>
        </w:rPr>
      </w:pPr>
      <w:r w:rsidRPr="00B05B3C">
        <w:tab/>
      </w:r>
      <w:r w:rsidRPr="000767D8">
        <w:rPr>
          <w:rStyle w:val="FootnoteReference"/>
        </w:rPr>
        <w:footnoteRef/>
      </w:r>
      <w:r w:rsidRPr="00B05B3C">
        <w:tab/>
        <w:t xml:space="preserve">Ibid. </w:t>
      </w:r>
      <w:r>
        <w:t>See also</w:t>
      </w:r>
      <w:r w:rsidRPr="00B05B3C">
        <w:t xml:space="preserve"> </w:t>
      </w:r>
      <w:r w:rsidRPr="00B05B3C">
        <w:rPr>
          <w:i/>
        </w:rPr>
        <w:t>X v. Denmark</w:t>
      </w:r>
      <w:r w:rsidRPr="00B05B3C">
        <w:t xml:space="preserve">, para. </w:t>
      </w:r>
      <w:r w:rsidRPr="00B05B3C">
        <w:rPr>
          <w:lang w:val="es-ES"/>
        </w:rPr>
        <w:t>9.2.</w:t>
      </w:r>
    </w:p>
  </w:footnote>
  <w:footnote w:id="32">
    <w:p w14:paraId="60DCB07B" w14:textId="77777777" w:rsidR="003E4627" w:rsidRPr="00B05B3C" w:rsidRDefault="003E4627" w:rsidP="003E4627">
      <w:pPr>
        <w:pStyle w:val="FootnoteText"/>
      </w:pPr>
      <w:r w:rsidRPr="00B05B3C">
        <w:rPr>
          <w:lang w:val="es-ES"/>
        </w:rPr>
        <w:tab/>
      </w:r>
      <w:r w:rsidRPr="000767D8">
        <w:rPr>
          <w:rStyle w:val="FootnoteReference"/>
        </w:rPr>
        <w:footnoteRef/>
      </w:r>
      <w:r w:rsidRPr="00B05B3C">
        <w:rPr>
          <w:lang w:val="es-ES"/>
        </w:rPr>
        <w:tab/>
      </w:r>
      <w:r w:rsidRPr="00B05B3C">
        <w:rPr>
          <w:i/>
          <w:lang w:val="es-ES"/>
        </w:rPr>
        <w:t>Pillai et al. v. Canada</w:t>
      </w:r>
      <w:r w:rsidRPr="00B05B3C">
        <w:rPr>
          <w:lang w:val="es-ES"/>
        </w:rPr>
        <w:t xml:space="preserve"> (CCPR/C/101/D/1763/2008</w:t>
      </w:r>
      <w:r w:rsidRPr="00E8120C">
        <w:rPr>
          <w:lang w:val="es-ES"/>
        </w:rPr>
        <w:t xml:space="preserve">), para. </w:t>
      </w:r>
      <w:r w:rsidRPr="00E8120C">
        <w:t xml:space="preserve">11.4; and </w:t>
      </w:r>
      <w:r w:rsidRPr="00E8120C">
        <w:rPr>
          <w:i/>
        </w:rPr>
        <w:t>Lin v. Australia</w:t>
      </w:r>
      <w:r w:rsidRPr="00E8120C">
        <w:t xml:space="preserve"> (CCPR/C/107/D/1957/2010), para. 9.3.</w:t>
      </w:r>
    </w:p>
  </w:footnote>
  <w:footnote w:id="33">
    <w:p w14:paraId="0D6B591F" w14:textId="77777777" w:rsidR="003E4627" w:rsidRPr="00B05B3C" w:rsidRDefault="003E4627" w:rsidP="003E4627">
      <w:pPr>
        <w:pStyle w:val="FootnoteText"/>
      </w:pPr>
      <w:r w:rsidRPr="00B05B3C">
        <w:tab/>
      </w:r>
      <w:r w:rsidRPr="000767D8">
        <w:rPr>
          <w:rStyle w:val="FootnoteReference"/>
        </w:rPr>
        <w:footnoteRef/>
      </w:r>
      <w:r w:rsidRPr="00B05B3C">
        <w:tab/>
        <w:t xml:space="preserve">See, for example, </w:t>
      </w:r>
      <w:r w:rsidRPr="00B05B3C">
        <w:rPr>
          <w:i/>
        </w:rPr>
        <w:t>K. v. Denmark</w:t>
      </w:r>
      <w:r w:rsidRPr="00B05B3C">
        <w:t>, para. 7.4.</w:t>
      </w:r>
    </w:p>
  </w:footnote>
  <w:footnote w:id="34">
    <w:p w14:paraId="6A46A618" w14:textId="48090889" w:rsidR="00CE73EE" w:rsidRPr="00B05B3C" w:rsidRDefault="00CE73EE" w:rsidP="00CE73EE">
      <w:pPr>
        <w:pStyle w:val="FootnoteText"/>
      </w:pPr>
      <w:r w:rsidRPr="00B05B3C">
        <w:tab/>
      </w:r>
      <w:r w:rsidRPr="000767D8">
        <w:rPr>
          <w:rStyle w:val="FootnoteReference"/>
        </w:rPr>
        <w:footnoteRef/>
      </w:r>
      <w:r w:rsidRPr="00B05B3C">
        <w:tab/>
      </w:r>
      <w:r>
        <w:t>Office of the United Nations High Commissioner for Refugees</w:t>
      </w:r>
      <w:r w:rsidRPr="00B05B3C">
        <w:rPr>
          <w:bCs/>
        </w:rPr>
        <w:t xml:space="preserve">, </w:t>
      </w:r>
      <w:r>
        <w:rPr>
          <w:bCs/>
        </w:rPr>
        <w:t>“</w:t>
      </w:r>
      <w:r w:rsidRPr="00B05B3C">
        <w:rPr>
          <w:bCs/>
        </w:rPr>
        <w:t xml:space="preserve">Guidelines on </w:t>
      </w:r>
      <w:r>
        <w:rPr>
          <w:bCs/>
        </w:rPr>
        <w:t>i</w:t>
      </w:r>
      <w:r w:rsidRPr="00B05B3C">
        <w:rPr>
          <w:bCs/>
        </w:rPr>
        <w:t xml:space="preserve">nternational </w:t>
      </w:r>
      <w:r>
        <w:rPr>
          <w:bCs/>
        </w:rPr>
        <w:t>p</w:t>
      </w:r>
      <w:r w:rsidRPr="00B05B3C">
        <w:rPr>
          <w:bCs/>
        </w:rPr>
        <w:t>rotection: religion-based refugee claims under article 1A(2) of the 1951 Convention and/or the 1967 Protocol relating to the Status of Refugees</w:t>
      </w:r>
      <w:r>
        <w:rPr>
          <w:bCs/>
        </w:rPr>
        <w:t>”</w:t>
      </w:r>
      <w:r w:rsidRPr="00B05B3C">
        <w:rPr>
          <w:bCs/>
        </w:rPr>
        <w:t>, para. 34</w:t>
      </w:r>
      <w:r>
        <w:rPr>
          <w:bCs/>
        </w:rPr>
        <w:t>. A</w:t>
      </w:r>
      <w:r w:rsidRPr="00B05B3C">
        <w:rPr>
          <w:bCs/>
        </w:rPr>
        <w:t>vailable at www.unhcr.org/afr/40d8427a4.pdf.</w:t>
      </w:r>
    </w:p>
  </w:footnote>
  <w:footnote w:id="35">
    <w:p w14:paraId="335ECA86" w14:textId="77777777" w:rsidR="00CE73EE" w:rsidRPr="00B05B3C" w:rsidRDefault="00CE73EE" w:rsidP="00CE73EE">
      <w:pPr>
        <w:pStyle w:val="FootnoteText"/>
        <w:ind w:right="992"/>
      </w:pPr>
      <w:r w:rsidRPr="00B05B3C">
        <w:tab/>
      </w:r>
      <w:r w:rsidRPr="000767D8">
        <w:rPr>
          <w:rStyle w:val="FootnoteReference"/>
        </w:rPr>
        <w:footnoteRef/>
      </w:r>
      <w:r w:rsidRPr="00B05B3C">
        <w:tab/>
      </w:r>
      <w:r>
        <w:t xml:space="preserve">See </w:t>
      </w:r>
      <w:r w:rsidRPr="00B05B3C">
        <w:rPr>
          <w:i/>
        </w:rPr>
        <w:t>S.A.H. v. Denmark</w:t>
      </w:r>
      <w:r w:rsidRPr="00B05B3C">
        <w:t xml:space="preserve"> (CCPR/C/121/D/2419/2014), para. 11.8. </w:t>
      </w:r>
      <w:r w:rsidR="000E71C9">
        <w:rPr>
          <w:lang w:val="en-GB"/>
        </w:rPr>
        <w:t xml:space="preserve">Also </w:t>
      </w:r>
      <w:r w:rsidRPr="00B05B3C">
        <w:rPr>
          <w:i/>
        </w:rPr>
        <w:t>F.G. v. Sweden</w:t>
      </w:r>
      <w:r w:rsidRPr="00B05B3C">
        <w:t>, para. 156.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8B48" w14:textId="48491F4A" w:rsidR="00CE46EF" w:rsidRPr="00A36331" w:rsidRDefault="00065F3F" w:rsidP="003E2107">
    <w:pPr>
      <w:pStyle w:val="Header"/>
    </w:pPr>
    <w:r w:rsidRPr="00065F3F">
      <w:rPr>
        <w:lang w:val="en-US"/>
      </w:rPr>
      <w:t xml:space="preserve">Advance unedited version </w:t>
    </w:r>
    <w:r>
      <w:rPr>
        <w:lang w:val="en-US"/>
      </w:rPr>
      <w:t xml:space="preserve"> </w:t>
    </w:r>
    <w:r w:rsidR="00CE46EF">
      <w:rPr>
        <w:lang w:val="en-US"/>
      </w:rPr>
      <w:t>CCPR/C/12</w:t>
    </w:r>
    <w:r w:rsidR="00C77015">
      <w:rPr>
        <w:lang w:val="en-US"/>
      </w:rPr>
      <w:t>5/D/2494</w:t>
    </w:r>
    <w:r w:rsidR="00CE46EF">
      <w:rPr>
        <w:lang w:val="en-US"/>
      </w:rPr>
      <w:t>/2014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7615" w14:textId="3842306D" w:rsidR="00CE46EF" w:rsidRPr="00A426C1" w:rsidRDefault="00065F3F" w:rsidP="003E2107">
    <w:pPr>
      <w:pStyle w:val="Header"/>
      <w:jc w:val="right"/>
    </w:pPr>
    <w:r w:rsidRPr="00065F3F">
      <w:rPr>
        <w:lang w:val="en-US"/>
      </w:rPr>
      <w:t xml:space="preserve">Advance unedited version </w:t>
    </w:r>
    <w:r w:rsidR="00C77015">
      <w:rPr>
        <w:lang w:val="en-US"/>
      </w:rPr>
      <w:t>CCPR/C/125/D/2494</w:t>
    </w:r>
    <w:r w:rsidR="00CE46EF">
      <w:rPr>
        <w:lang w:val="en-US"/>
      </w:rPr>
      <w:t>/2014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C6F4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38F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4EEB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900A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FA43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1289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45C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283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3043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B08D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64BB"/>
    <w:multiLevelType w:val="hybridMultilevel"/>
    <w:tmpl w:val="AE6E23A8"/>
    <w:lvl w:ilvl="0" w:tplc="ED0C8E2C">
      <w:start w:val="1"/>
      <w:numFmt w:val="decimal"/>
      <w:lvlText w:val="%1"/>
      <w:lvlJc w:val="left"/>
      <w:pPr>
        <w:ind w:left="1287" w:hanging="360"/>
      </w:pPr>
      <w:rPr>
        <w:rFonts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76CA9"/>
    <w:multiLevelType w:val="hybridMultilevel"/>
    <w:tmpl w:val="23D28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1"/>
  </w:num>
  <w:num w:numId="2">
    <w:abstractNumId w:val="14"/>
  </w:num>
  <w:num w:numId="3">
    <w:abstractNumId w:val="12"/>
  </w:num>
  <w:num w:numId="4">
    <w:abstractNumId w:val="0"/>
  </w:num>
  <w:num w:numId="5">
    <w:abstractNumId w:val="16"/>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EC"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31"/>
    <w:rsid w:val="0000184E"/>
    <w:rsid w:val="000033CE"/>
    <w:rsid w:val="00004925"/>
    <w:rsid w:val="00004BA4"/>
    <w:rsid w:val="000051B8"/>
    <w:rsid w:val="00006746"/>
    <w:rsid w:val="0000738D"/>
    <w:rsid w:val="00007A00"/>
    <w:rsid w:val="00007AE7"/>
    <w:rsid w:val="000111ED"/>
    <w:rsid w:val="0001160D"/>
    <w:rsid w:val="000124BA"/>
    <w:rsid w:val="00012E88"/>
    <w:rsid w:val="000138EB"/>
    <w:rsid w:val="00014573"/>
    <w:rsid w:val="00014D99"/>
    <w:rsid w:val="000156D5"/>
    <w:rsid w:val="00015C9A"/>
    <w:rsid w:val="00015E61"/>
    <w:rsid w:val="0001698F"/>
    <w:rsid w:val="000177B9"/>
    <w:rsid w:val="000179EE"/>
    <w:rsid w:val="00017BB3"/>
    <w:rsid w:val="000200ED"/>
    <w:rsid w:val="00020C90"/>
    <w:rsid w:val="0002165A"/>
    <w:rsid w:val="0002166E"/>
    <w:rsid w:val="00021F7A"/>
    <w:rsid w:val="00022440"/>
    <w:rsid w:val="00022F2F"/>
    <w:rsid w:val="000231B3"/>
    <w:rsid w:val="000234F1"/>
    <w:rsid w:val="00023541"/>
    <w:rsid w:val="000247D4"/>
    <w:rsid w:val="00025395"/>
    <w:rsid w:val="0002568A"/>
    <w:rsid w:val="00026C21"/>
    <w:rsid w:val="00027624"/>
    <w:rsid w:val="00027E4D"/>
    <w:rsid w:val="000300F4"/>
    <w:rsid w:val="00030F08"/>
    <w:rsid w:val="00031336"/>
    <w:rsid w:val="0003198D"/>
    <w:rsid w:val="0003269C"/>
    <w:rsid w:val="00032C19"/>
    <w:rsid w:val="000344FA"/>
    <w:rsid w:val="00034C96"/>
    <w:rsid w:val="00035C6E"/>
    <w:rsid w:val="00035FCE"/>
    <w:rsid w:val="00036372"/>
    <w:rsid w:val="00036570"/>
    <w:rsid w:val="00036575"/>
    <w:rsid w:val="0003669A"/>
    <w:rsid w:val="0003797F"/>
    <w:rsid w:val="00037ADA"/>
    <w:rsid w:val="00037E7F"/>
    <w:rsid w:val="00040DBF"/>
    <w:rsid w:val="00040E9D"/>
    <w:rsid w:val="000413BC"/>
    <w:rsid w:val="000443ED"/>
    <w:rsid w:val="00044D00"/>
    <w:rsid w:val="00044EF8"/>
    <w:rsid w:val="00045117"/>
    <w:rsid w:val="00046CB0"/>
    <w:rsid w:val="00047068"/>
    <w:rsid w:val="00047AAD"/>
    <w:rsid w:val="00047FA0"/>
    <w:rsid w:val="000500CF"/>
    <w:rsid w:val="00052B78"/>
    <w:rsid w:val="0005322D"/>
    <w:rsid w:val="00053402"/>
    <w:rsid w:val="0005371B"/>
    <w:rsid w:val="0005393C"/>
    <w:rsid w:val="00053F4F"/>
    <w:rsid w:val="000541D3"/>
    <w:rsid w:val="00054446"/>
    <w:rsid w:val="00054825"/>
    <w:rsid w:val="00054A2F"/>
    <w:rsid w:val="000552C2"/>
    <w:rsid w:val="00055756"/>
    <w:rsid w:val="00056C6E"/>
    <w:rsid w:val="00057C3C"/>
    <w:rsid w:val="00060323"/>
    <w:rsid w:val="000603D3"/>
    <w:rsid w:val="00060948"/>
    <w:rsid w:val="00060B44"/>
    <w:rsid w:val="00061B9D"/>
    <w:rsid w:val="00061E8B"/>
    <w:rsid w:val="00063679"/>
    <w:rsid w:val="00063AE5"/>
    <w:rsid w:val="00063D8F"/>
    <w:rsid w:val="0006401A"/>
    <w:rsid w:val="000647D6"/>
    <w:rsid w:val="00065A19"/>
    <w:rsid w:val="00065F3F"/>
    <w:rsid w:val="000665FF"/>
    <w:rsid w:val="00066CCB"/>
    <w:rsid w:val="000671FD"/>
    <w:rsid w:val="00067476"/>
    <w:rsid w:val="00067BB1"/>
    <w:rsid w:val="00070207"/>
    <w:rsid w:val="000720A1"/>
    <w:rsid w:val="00073383"/>
    <w:rsid w:val="00073871"/>
    <w:rsid w:val="000739DC"/>
    <w:rsid w:val="00073DBA"/>
    <w:rsid w:val="00076283"/>
    <w:rsid w:val="00076BF0"/>
    <w:rsid w:val="00076DB4"/>
    <w:rsid w:val="000773BC"/>
    <w:rsid w:val="0007777E"/>
    <w:rsid w:val="0008068A"/>
    <w:rsid w:val="00081182"/>
    <w:rsid w:val="00081AE9"/>
    <w:rsid w:val="000823B7"/>
    <w:rsid w:val="00082B88"/>
    <w:rsid w:val="00082F80"/>
    <w:rsid w:val="000841F3"/>
    <w:rsid w:val="0008457A"/>
    <w:rsid w:val="0008540B"/>
    <w:rsid w:val="00085D93"/>
    <w:rsid w:val="00085F87"/>
    <w:rsid w:val="0008640C"/>
    <w:rsid w:val="000864F5"/>
    <w:rsid w:val="00086ABF"/>
    <w:rsid w:val="00086B97"/>
    <w:rsid w:val="00087319"/>
    <w:rsid w:val="00087670"/>
    <w:rsid w:val="00087754"/>
    <w:rsid w:val="00090081"/>
    <w:rsid w:val="000903D1"/>
    <w:rsid w:val="00090B5E"/>
    <w:rsid w:val="000913CF"/>
    <w:rsid w:val="00091DDB"/>
    <w:rsid w:val="000929A8"/>
    <w:rsid w:val="00092C7F"/>
    <w:rsid w:val="000931D3"/>
    <w:rsid w:val="00093381"/>
    <w:rsid w:val="00093876"/>
    <w:rsid w:val="0009410C"/>
    <w:rsid w:val="000941DC"/>
    <w:rsid w:val="00094AA5"/>
    <w:rsid w:val="000959BE"/>
    <w:rsid w:val="00095DE0"/>
    <w:rsid w:val="0009642E"/>
    <w:rsid w:val="000967DF"/>
    <w:rsid w:val="000970A9"/>
    <w:rsid w:val="000970D0"/>
    <w:rsid w:val="000A0136"/>
    <w:rsid w:val="000A0882"/>
    <w:rsid w:val="000A1004"/>
    <w:rsid w:val="000A2910"/>
    <w:rsid w:val="000A2FED"/>
    <w:rsid w:val="000A336D"/>
    <w:rsid w:val="000A3DC2"/>
    <w:rsid w:val="000A4806"/>
    <w:rsid w:val="000A4947"/>
    <w:rsid w:val="000A4996"/>
    <w:rsid w:val="000A5379"/>
    <w:rsid w:val="000A57A9"/>
    <w:rsid w:val="000A61BC"/>
    <w:rsid w:val="000A6B4D"/>
    <w:rsid w:val="000B0EAD"/>
    <w:rsid w:val="000B1123"/>
    <w:rsid w:val="000B196A"/>
    <w:rsid w:val="000B1A52"/>
    <w:rsid w:val="000B2AF3"/>
    <w:rsid w:val="000B33C0"/>
    <w:rsid w:val="000B3796"/>
    <w:rsid w:val="000B4270"/>
    <w:rsid w:val="000B4333"/>
    <w:rsid w:val="000B4F14"/>
    <w:rsid w:val="000B5126"/>
    <w:rsid w:val="000B58A4"/>
    <w:rsid w:val="000B5A9C"/>
    <w:rsid w:val="000B5E58"/>
    <w:rsid w:val="000B6C8A"/>
    <w:rsid w:val="000B7E50"/>
    <w:rsid w:val="000C02F4"/>
    <w:rsid w:val="000C0928"/>
    <w:rsid w:val="000C1531"/>
    <w:rsid w:val="000C25B2"/>
    <w:rsid w:val="000C2A5A"/>
    <w:rsid w:val="000C334A"/>
    <w:rsid w:val="000C33BD"/>
    <w:rsid w:val="000C484B"/>
    <w:rsid w:val="000C5C53"/>
    <w:rsid w:val="000C7F98"/>
    <w:rsid w:val="000C7FB0"/>
    <w:rsid w:val="000D0DAC"/>
    <w:rsid w:val="000D0ED3"/>
    <w:rsid w:val="000D1378"/>
    <w:rsid w:val="000D236B"/>
    <w:rsid w:val="000D3C1A"/>
    <w:rsid w:val="000D3E8A"/>
    <w:rsid w:val="000D5751"/>
    <w:rsid w:val="000D6110"/>
    <w:rsid w:val="000D662B"/>
    <w:rsid w:val="000D668F"/>
    <w:rsid w:val="000D671D"/>
    <w:rsid w:val="000D756F"/>
    <w:rsid w:val="000D7837"/>
    <w:rsid w:val="000D7C47"/>
    <w:rsid w:val="000E0166"/>
    <w:rsid w:val="000E079B"/>
    <w:rsid w:val="000E0AC8"/>
    <w:rsid w:val="000E17C5"/>
    <w:rsid w:val="000E1E05"/>
    <w:rsid w:val="000E26F1"/>
    <w:rsid w:val="000E3A21"/>
    <w:rsid w:val="000E40F7"/>
    <w:rsid w:val="000E44AD"/>
    <w:rsid w:val="000E4CB1"/>
    <w:rsid w:val="000E5768"/>
    <w:rsid w:val="000E6359"/>
    <w:rsid w:val="000E71C9"/>
    <w:rsid w:val="000E72F0"/>
    <w:rsid w:val="000E7F30"/>
    <w:rsid w:val="000F0974"/>
    <w:rsid w:val="000F1060"/>
    <w:rsid w:val="000F1F2B"/>
    <w:rsid w:val="000F23A0"/>
    <w:rsid w:val="000F249E"/>
    <w:rsid w:val="000F30FF"/>
    <w:rsid w:val="000F3DB8"/>
    <w:rsid w:val="000F54A0"/>
    <w:rsid w:val="000F6923"/>
    <w:rsid w:val="000F722B"/>
    <w:rsid w:val="001006ED"/>
    <w:rsid w:val="00100E13"/>
    <w:rsid w:val="00101C5A"/>
    <w:rsid w:val="00102233"/>
    <w:rsid w:val="00102371"/>
    <w:rsid w:val="0010237B"/>
    <w:rsid w:val="0010293A"/>
    <w:rsid w:val="00102ECA"/>
    <w:rsid w:val="0010354D"/>
    <w:rsid w:val="0010363F"/>
    <w:rsid w:val="0010423E"/>
    <w:rsid w:val="00104C19"/>
    <w:rsid w:val="001051B2"/>
    <w:rsid w:val="001051B5"/>
    <w:rsid w:val="00105283"/>
    <w:rsid w:val="00105C85"/>
    <w:rsid w:val="00105F9F"/>
    <w:rsid w:val="0010727D"/>
    <w:rsid w:val="00107C28"/>
    <w:rsid w:val="001106A5"/>
    <w:rsid w:val="00111E3B"/>
    <w:rsid w:val="0011278E"/>
    <w:rsid w:val="001130C6"/>
    <w:rsid w:val="00113638"/>
    <w:rsid w:val="00113DF2"/>
    <w:rsid w:val="00114C24"/>
    <w:rsid w:val="001151A8"/>
    <w:rsid w:val="0011544F"/>
    <w:rsid w:val="00116483"/>
    <w:rsid w:val="00116BE8"/>
    <w:rsid w:val="0011703E"/>
    <w:rsid w:val="00117F05"/>
    <w:rsid w:val="00121A6E"/>
    <w:rsid w:val="00121E7D"/>
    <w:rsid w:val="00122B95"/>
    <w:rsid w:val="001236A4"/>
    <w:rsid w:val="00124A94"/>
    <w:rsid w:val="00124C6E"/>
    <w:rsid w:val="00125EA5"/>
    <w:rsid w:val="00125FFB"/>
    <w:rsid w:val="0012653C"/>
    <w:rsid w:val="0012672F"/>
    <w:rsid w:val="00126974"/>
    <w:rsid w:val="0012733F"/>
    <w:rsid w:val="001313EE"/>
    <w:rsid w:val="0013176C"/>
    <w:rsid w:val="00132D6B"/>
    <w:rsid w:val="00133927"/>
    <w:rsid w:val="00133D39"/>
    <w:rsid w:val="001344A6"/>
    <w:rsid w:val="001346C3"/>
    <w:rsid w:val="00134711"/>
    <w:rsid w:val="00134D85"/>
    <w:rsid w:val="00135507"/>
    <w:rsid w:val="0013566D"/>
    <w:rsid w:val="00135985"/>
    <w:rsid w:val="00135BE5"/>
    <w:rsid w:val="00136281"/>
    <w:rsid w:val="0013693A"/>
    <w:rsid w:val="00136C0C"/>
    <w:rsid w:val="00136DC6"/>
    <w:rsid w:val="00141567"/>
    <w:rsid w:val="00143782"/>
    <w:rsid w:val="001446D4"/>
    <w:rsid w:val="001449DF"/>
    <w:rsid w:val="00144BF9"/>
    <w:rsid w:val="00145249"/>
    <w:rsid w:val="00145904"/>
    <w:rsid w:val="00146661"/>
    <w:rsid w:val="00146D75"/>
    <w:rsid w:val="001479E0"/>
    <w:rsid w:val="00150023"/>
    <w:rsid w:val="0015022F"/>
    <w:rsid w:val="00150BAB"/>
    <w:rsid w:val="00150CC2"/>
    <w:rsid w:val="00151013"/>
    <w:rsid w:val="00151BD5"/>
    <w:rsid w:val="00151EAF"/>
    <w:rsid w:val="00151FED"/>
    <w:rsid w:val="001535A1"/>
    <w:rsid w:val="00153922"/>
    <w:rsid w:val="00153AA5"/>
    <w:rsid w:val="00153DFA"/>
    <w:rsid w:val="00154021"/>
    <w:rsid w:val="0015455F"/>
    <w:rsid w:val="0015528F"/>
    <w:rsid w:val="00155382"/>
    <w:rsid w:val="00155762"/>
    <w:rsid w:val="0015582F"/>
    <w:rsid w:val="00155A2D"/>
    <w:rsid w:val="00156373"/>
    <w:rsid w:val="001574E2"/>
    <w:rsid w:val="00157ABB"/>
    <w:rsid w:val="00160847"/>
    <w:rsid w:val="00160FC5"/>
    <w:rsid w:val="00161366"/>
    <w:rsid w:val="0016215F"/>
    <w:rsid w:val="0016280A"/>
    <w:rsid w:val="0016346C"/>
    <w:rsid w:val="00163707"/>
    <w:rsid w:val="001638AC"/>
    <w:rsid w:val="00163940"/>
    <w:rsid w:val="00163B25"/>
    <w:rsid w:val="00163D1A"/>
    <w:rsid w:val="001650DF"/>
    <w:rsid w:val="00165320"/>
    <w:rsid w:val="001704EC"/>
    <w:rsid w:val="00170ADC"/>
    <w:rsid w:val="001714F1"/>
    <w:rsid w:val="00171B1A"/>
    <w:rsid w:val="00171BEB"/>
    <w:rsid w:val="00172011"/>
    <w:rsid w:val="001727C5"/>
    <w:rsid w:val="00172917"/>
    <w:rsid w:val="00173A02"/>
    <w:rsid w:val="00174983"/>
    <w:rsid w:val="00175269"/>
    <w:rsid w:val="0017660D"/>
    <w:rsid w:val="00176723"/>
    <w:rsid w:val="001769BB"/>
    <w:rsid w:val="00176EA2"/>
    <w:rsid w:val="001774B1"/>
    <w:rsid w:val="0017774C"/>
    <w:rsid w:val="001777CF"/>
    <w:rsid w:val="0017783F"/>
    <w:rsid w:val="001778B8"/>
    <w:rsid w:val="0017796D"/>
    <w:rsid w:val="00177D14"/>
    <w:rsid w:val="00180257"/>
    <w:rsid w:val="00180E03"/>
    <w:rsid w:val="001812A1"/>
    <w:rsid w:val="001827EC"/>
    <w:rsid w:val="00182ACD"/>
    <w:rsid w:val="00182C97"/>
    <w:rsid w:val="00183002"/>
    <w:rsid w:val="00185783"/>
    <w:rsid w:val="001866D7"/>
    <w:rsid w:val="0018734A"/>
    <w:rsid w:val="001902F2"/>
    <w:rsid w:val="00191AF7"/>
    <w:rsid w:val="00191D93"/>
    <w:rsid w:val="0019222B"/>
    <w:rsid w:val="001926D4"/>
    <w:rsid w:val="0019370F"/>
    <w:rsid w:val="00193BB8"/>
    <w:rsid w:val="00193E25"/>
    <w:rsid w:val="001953C3"/>
    <w:rsid w:val="00195B8A"/>
    <w:rsid w:val="00196C7D"/>
    <w:rsid w:val="00196DAD"/>
    <w:rsid w:val="00197F93"/>
    <w:rsid w:val="001A089D"/>
    <w:rsid w:val="001A1341"/>
    <w:rsid w:val="001A1616"/>
    <w:rsid w:val="001A173A"/>
    <w:rsid w:val="001A225F"/>
    <w:rsid w:val="001A2290"/>
    <w:rsid w:val="001A293E"/>
    <w:rsid w:val="001A2983"/>
    <w:rsid w:val="001A2D6B"/>
    <w:rsid w:val="001A33B5"/>
    <w:rsid w:val="001A33E7"/>
    <w:rsid w:val="001A3F87"/>
    <w:rsid w:val="001A45D1"/>
    <w:rsid w:val="001A47F0"/>
    <w:rsid w:val="001A56B4"/>
    <w:rsid w:val="001A641F"/>
    <w:rsid w:val="001A6780"/>
    <w:rsid w:val="001A68B4"/>
    <w:rsid w:val="001A69DA"/>
    <w:rsid w:val="001B0414"/>
    <w:rsid w:val="001B0587"/>
    <w:rsid w:val="001B0B2A"/>
    <w:rsid w:val="001B283B"/>
    <w:rsid w:val="001B28BB"/>
    <w:rsid w:val="001B39F6"/>
    <w:rsid w:val="001B449C"/>
    <w:rsid w:val="001B5A0A"/>
    <w:rsid w:val="001B60D8"/>
    <w:rsid w:val="001B6457"/>
    <w:rsid w:val="001B7FE1"/>
    <w:rsid w:val="001C168B"/>
    <w:rsid w:val="001C1AB6"/>
    <w:rsid w:val="001C1F57"/>
    <w:rsid w:val="001C2261"/>
    <w:rsid w:val="001C2D69"/>
    <w:rsid w:val="001C2E1D"/>
    <w:rsid w:val="001C3600"/>
    <w:rsid w:val="001C4133"/>
    <w:rsid w:val="001C4993"/>
    <w:rsid w:val="001C5029"/>
    <w:rsid w:val="001C6B25"/>
    <w:rsid w:val="001C737B"/>
    <w:rsid w:val="001C7DDD"/>
    <w:rsid w:val="001C7DE3"/>
    <w:rsid w:val="001D0C82"/>
    <w:rsid w:val="001D10C8"/>
    <w:rsid w:val="001D1A8A"/>
    <w:rsid w:val="001D1C3A"/>
    <w:rsid w:val="001D302E"/>
    <w:rsid w:val="001D360F"/>
    <w:rsid w:val="001D44B5"/>
    <w:rsid w:val="001D5408"/>
    <w:rsid w:val="001E1EE5"/>
    <w:rsid w:val="001E238D"/>
    <w:rsid w:val="001E413B"/>
    <w:rsid w:val="001E42A6"/>
    <w:rsid w:val="001E5BDD"/>
    <w:rsid w:val="001E5E6C"/>
    <w:rsid w:val="001E61B3"/>
    <w:rsid w:val="001E7EAA"/>
    <w:rsid w:val="001F0121"/>
    <w:rsid w:val="001F0456"/>
    <w:rsid w:val="001F06E7"/>
    <w:rsid w:val="001F0736"/>
    <w:rsid w:val="001F0B3E"/>
    <w:rsid w:val="001F0BCE"/>
    <w:rsid w:val="001F1884"/>
    <w:rsid w:val="001F2A91"/>
    <w:rsid w:val="001F34B2"/>
    <w:rsid w:val="001F50C7"/>
    <w:rsid w:val="001F54B0"/>
    <w:rsid w:val="001F5CDF"/>
    <w:rsid w:val="001F6867"/>
    <w:rsid w:val="001F6B22"/>
    <w:rsid w:val="002006F8"/>
    <w:rsid w:val="002007F6"/>
    <w:rsid w:val="00200A85"/>
    <w:rsid w:val="00200BE4"/>
    <w:rsid w:val="002016F8"/>
    <w:rsid w:val="00201DC9"/>
    <w:rsid w:val="0020250B"/>
    <w:rsid w:val="00202D1A"/>
    <w:rsid w:val="00203E08"/>
    <w:rsid w:val="00204314"/>
    <w:rsid w:val="0020482B"/>
    <w:rsid w:val="0020529B"/>
    <w:rsid w:val="00205448"/>
    <w:rsid w:val="00205987"/>
    <w:rsid w:val="00206509"/>
    <w:rsid w:val="002068B6"/>
    <w:rsid w:val="00206B69"/>
    <w:rsid w:val="00206E9A"/>
    <w:rsid w:val="00207439"/>
    <w:rsid w:val="0020783B"/>
    <w:rsid w:val="002105B8"/>
    <w:rsid w:val="002105BB"/>
    <w:rsid w:val="002107CB"/>
    <w:rsid w:val="002108FF"/>
    <w:rsid w:val="00210FAC"/>
    <w:rsid w:val="00211D65"/>
    <w:rsid w:val="00212E07"/>
    <w:rsid w:val="00213061"/>
    <w:rsid w:val="0021348A"/>
    <w:rsid w:val="002140A1"/>
    <w:rsid w:val="002156E1"/>
    <w:rsid w:val="00216E02"/>
    <w:rsid w:val="002172EB"/>
    <w:rsid w:val="00217729"/>
    <w:rsid w:val="002179E8"/>
    <w:rsid w:val="00217B5B"/>
    <w:rsid w:val="00220996"/>
    <w:rsid w:val="0022224A"/>
    <w:rsid w:val="0022261C"/>
    <w:rsid w:val="00222B06"/>
    <w:rsid w:val="00223939"/>
    <w:rsid w:val="00223E8F"/>
    <w:rsid w:val="00223FCD"/>
    <w:rsid w:val="00224374"/>
    <w:rsid w:val="00225171"/>
    <w:rsid w:val="00226477"/>
    <w:rsid w:val="00226C85"/>
    <w:rsid w:val="00227280"/>
    <w:rsid w:val="00227516"/>
    <w:rsid w:val="00231258"/>
    <w:rsid w:val="0023132C"/>
    <w:rsid w:val="0023144E"/>
    <w:rsid w:val="002322DF"/>
    <w:rsid w:val="002322EA"/>
    <w:rsid w:val="00233878"/>
    <w:rsid w:val="002345AB"/>
    <w:rsid w:val="00235C3D"/>
    <w:rsid w:val="002361AC"/>
    <w:rsid w:val="00236F58"/>
    <w:rsid w:val="00240072"/>
    <w:rsid w:val="00240333"/>
    <w:rsid w:val="00240B24"/>
    <w:rsid w:val="00240BBF"/>
    <w:rsid w:val="00240C8A"/>
    <w:rsid w:val="00242301"/>
    <w:rsid w:val="00245C35"/>
    <w:rsid w:val="00245D89"/>
    <w:rsid w:val="002466DE"/>
    <w:rsid w:val="00246A4B"/>
    <w:rsid w:val="002473A3"/>
    <w:rsid w:val="0025075F"/>
    <w:rsid w:val="00251184"/>
    <w:rsid w:val="00251430"/>
    <w:rsid w:val="00251567"/>
    <w:rsid w:val="002516A5"/>
    <w:rsid w:val="00251E9B"/>
    <w:rsid w:val="00253631"/>
    <w:rsid w:val="00253AC3"/>
    <w:rsid w:val="00254321"/>
    <w:rsid w:val="00254513"/>
    <w:rsid w:val="00254622"/>
    <w:rsid w:val="00254CE8"/>
    <w:rsid w:val="00254D56"/>
    <w:rsid w:val="00255EEB"/>
    <w:rsid w:val="00255F48"/>
    <w:rsid w:val="002560BA"/>
    <w:rsid w:val="002562E6"/>
    <w:rsid w:val="002567E9"/>
    <w:rsid w:val="00256BD9"/>
    <w:rsid w:val="0025762F"/>
    <w:rsid w:val="00260F3A"/>
    <w:rsid w:val="002612FA"/>
    <w:rsid w:val="00261982"/>
    <w:rsid w:val="00261D5A"/>
    <w:rsid w:val="002621B6"/>
    <w:rsid w:val="002624CC"/>
    <w:rsid w:val="0026300F"/>
    <w:rsid w:val="00263C75"/>
    <w:rsid w:val="00264367"/>
    <w:rsid w:val="00264394"/>
    <w:rsid w:val="00264B40"/>
    <w:rsid w:val="002654C7"/>
    <w:rsid w:val="00270278"/>
    <w:rsid w:val="00270E96"/>
    <w:rsid w:val="002723D7"/>
    <w:rsid w:val="0027293F"/>
    <w:rsid w:val="00272F82"/>
    <w:rsid w:val="002731ED"/>
    <w:rsid w:val="002732B1"/>
    <w:rsid w:val="00273433"/>
    <w:rsid w:val="00273F29"/>
    <w:rsid w:val="0027541A"/>
    <w:rsid w:val="00276D7B"/>
    <w:rsid w:val="0027701C"/>
    <w:rsid w:val="002775CA"/>
    <w:rsid w:val="00280B19"/>
    <w:rsid w:val="00281C5A"/>
    <w:rsid w:val="00282A05"/>
    <w:rsid w:val="00282C58"/>
    <w:rsid w:val="0028332A"/>
    <w:rsid w:val="00283342"/>
    <w:rsid w:val="00283596"/>
    <w:rsid w:val="00283D5F"/>
    <w:rsid w:val="0028525A"/>
    <w:rsid w:val="002855F3"/>
    <w:rsid w:val="00285A55"/>
    <w:rsid w:val="00285C3C"/>
    <w:rsid w:val="00286040"/>
    <w:rsid w:val="00287A09"/>
    <w:rsid w:val="002908B0"/>
    <w:rsid w:val="00290CE9"/>
    <w:rsid w:val="00291018"/>
    <w:rsid w:val="0029109D"/>
    <w:rsid w:val="00291571"/>
    <w:rsid w:val="0029180B"/>
    <w:rsid w:val="00291DE2"/>
    <w:rsid w:val="00292C19"/>
    <w:rsid w:val="002933D8"/>
    <w:rsid w:val="00294F2A"/>
    <w:rsid w:val="002950D3"/>
    <w:rsid w:val="002952B5"/>
    <w:rsid w:val="00295A1F"/>
    <w:rsid w:val="00295C91"/>
    <w:rsid w:val="00297387"/>
    <w:rsid w:val="00297A33"/>
    <w:rsid w:val="00297B22"/>
    <w:rsid w:val="002A057E"/>
    <w:rsid w:val="002A12F6"/>
    <w:rsid w:val="002A1E10"/>
    <w:rsid w:val="002A33F1"/>
    <w:rsid w:val="002A3706"/>
    <w:rsid w:val="002A3F92"/>
    <w:rsid w:val="002A4990"/>
    <w:rsid w:val="002A556E"/>
    <w:rsid w:val="002A7B53"/>
    <w:rsid w:val="002B0569"/>
    <w:rsid w:val="002B0BD6"/>
    <w:rsid w:val="002B0C78"/>
    <w:rsid w:val="002B2E9E"/>
    <w:rsid w:val="002B2ECD"/>
    <w:rsid w:val="002B3C3D"/>
    <w:rsid w:val="002B3E08"/>
    <w:rsid w:val="002B5387"/>
    <w:rsid w:val="002B59C8"/>
    <w:rsid w:val="002B5A0C"/>
    <w:rsid w:val="002B5B05"/>
    <w:rsid w:val="002B6121"/>
    <w:rsid w:val="002B68CD"/>
    <w:rsid w:val="002B6D3C"/>
    <w:rsid w:val="002B7BF4"/>
    <w:rsid w:val="002C0FF0"/>
    <w:rsid w:val="002C11F1"/>
    <w:rsid w:val="002C13E6"/>
    <w:rsid w:val="002C18F0"/>
    <w:rsid w:val="002C19A0"/>
    <w:rsid w:val="002C1FD7"/>
    <w:rsid w:val="002C2833"/>
    <w:rsid w:val="002C2931"/>
    <w:rsid w:val="002C293D"/>
    <w:rsid w:val="002C31DA"/>
    <w:rsid w:val="002C3403"/>
    <w:rsid w:val="002C394A"/>
    <w:rsid w:val="002C4175"/>
    <w:rsid w:val="002C5445"/>
    <w:rsid w:val="002C5584"/>
    <w:rsid w:val="002C5598"/>
    <w:rsid w:val="002C566A"/>
    <w:rsid w:val="002C6551"/>
    <w:rsid w:val="002C6812"/>
    <w:rsid w:val="002C6A6B"/>
    <w:rsid w:val="002C7133"/>
    <w:rsid w:val="002C7687"/>
    <w:rsid w:val="002D0401"/>
    <w:rsid w:val="002D0961"/>
    <w:rsid w:val="002D10E3"/>
    <w:rsid w:val="002D1463"/>
    <w:rsid w:val="002D15C8"/>
    <w:rsid w:val="002D18DE"/>
    <w:rsid w:val="002D19B5"/>
    <w:rsid w:val="002D1F75"/>
    <w:rsid w:val="002D2567"/>
    <w:rsid w:val="002D2A8C"/>
    <w:rsid w:val="002D3902"/>
    <w:rsid w:val="002D3E5E"/>
    <w:rsid w:val="002D451E"/>
    <w:rsid w:val="002D4903"/>
    <w:rsid w:val="002D6F53"/>
    <w:rsid w:val="002D70B8"/>
    <w:rsid w:val="002D7DB0"/>
    <w:rsid w:val="002E055D"/>
    <w:rsid w:val="002E0770"/>
    <w:rsid w:val="002E0F13"/>
    <w:rsid w:val="002E13A8"/>
    <w:rsid w:val="002E1AD1"/>
    <w:rsid w:val="002E213A"/>
    <w:rsid w:val="002E30E8"/>
    <w:rsid w:val="002E40FF"/>
    <w:rsid w:val="002E42B1"/>
    <w:rsid w:val="002E5C5C"/>
    <w:rsid w:val="002E667A"/>
    <w:rsid w:val="002E6EAD"/>
    <w:rsid w:val="002E7726"/>
    <w:rsid w:val="002E7AC5"/>
    <w:rsid w:val="002E7BEB"/>
    <w:rsid w:val="002F059A"/>
    <w:rsid w:val="002F0753"/>
    <w:rsid w:val="002F0FC2"/>
    <w:rsid w:val="002F11D6"/>
    <w:rsid w:val="002F1E0E"/>
    <w:rsid w:val="002F208E"/>
    <w:rsid w:val="002F256F"/>
    <w:rsid w:val="002F2640"/>
    <w:rsid w:val="002F3074"/>
    <w:rsid w:val="002F36A9"/>
    <w:rsid w:val="002F3E6F"/>
    <w:rsid w:val="002F487B"/>
    <w:rsid w:val="002F5F87"/>
    <w:rsid w:val="002F7A2B"/>
    <w:rsid w:val="002F7CFC"/>
    <w:rsid w:val="002F7DAA"/>
    <w:rsid w:val="00300ECF"/>
    <w:rsid w:val="00301222"/>
    <w:rsid w:val="00301D34"/>
    <w:rsid w:val="00302ADA"/>
    <w:rsid w:val="003035EA"/>
    <w:rsid w:val="00304635"/>
    <w:rsid w:val="00304913"/>
    <w:rsid w:val="00304A33"/>
    <w:rsid w:val="00305CAF"/>
    <w:rsid w:val="00305FE4"/>
    <w:rsid w:val="0030734E"/>
    <w:rsid w:val="0030739A"/>
    <w:rsid w:val="0031123D"/>
    <w:rsid w:val="0031124E"/>
    <w:rsid w:val="003125B7"/>
    <w:rsid w:val="0031381F"/>
    <w:rsid w:val="003139E3"/>
    <w:rsid w:val="003140C8"/>
    <w:rsid w:val="0031435E"/>
    <w:rsid w:val="00314B1B"/>
    <w:rsid w:val="00315358"/>
    <w:rsid w:val="00315E3F"/>
    <w:rsid w:val="00315FE9"/>
    <w:rsid w:val="0031629D"/>
    <w:rsid w:val="003163D6"/>
    <w:rsid w:val="003175C8"/>
    <w:rsid w:val="00317C17"/>
    <w:rsid w:val="00320159"/>
    <w:rsid w:val="00321689"/>
    <w:rsid w:val="0032276D"/>
    <w:rsid w:val="00322809"/>
    <w:rsid w:val="00323AE1"/>
    <w:rsid w:val="00323F48"/>
    <w:rsid w:val="00324D0A"/>
    <w:rsid w:val="00325117"/>
    <w:rsid w:val="003261EE"/>
    <w:rsid w:val="00326412"/>
    <w:rsid w:val="00326A37"/>
    <w:rsid w:val="0032773B"/>
    <w:rsid w:val="003305D4"/>
    <w:rsid w:val="00330FCC"/>
    <w:rsid w:val="0033212F"/>
    <w:rsid w:val="00332B4C"/>
    <w:rsid w:val="00332B4E"/>
    <w:rsid w:val="0033373B"/>
    <w:rsid w:val="003338B8"/>
    <w:rsid w:val="00333A93"/>
    <w:rsid w:val="00334368"/>
    <w:rsid w:val="00334547"/>
    <w:rsid w:val="00334BC2"/>
    <w:rsid w:val="00334EAF"/>
    <w:rsid w:val="0033580E"/>
    <w:rsid w:val="00335B00"/>
    <w:rsid w:val="003368E0"/>
    <w:rsid w:val="00336939"/>
    <w:rsid w:val="0033698B"/>
    <w:rsid w:val="00336AE5"/>
    <w:rsid w:val="00336CE5"/>
    <w:rsid w:val="00337C25"/>
    <w:rsid w:val="00340DE3"/>
    <w:rsid w:val="00341577"/>
    <w:rsid w:val="0034161C"/>
    <w:rsid w:val="00341919"/>
    <w:rsid w:val="00344528"/>
    <w:rsid w:val="0034456B"/>
    <w:rsid w:val="003450A8"/>
    <w:rsid w:val="00345743"/>
    <w:rsid w:val="00346004"/>
    <w:rsid w:val="00346EF6"/>
    <w:rsid w:val="0034764B"/>
    <w:rsid w:val="00350443"/>
    <w:rsid w:val="003516A4"/>
    <w:rsid w:val="00351DB5"/>
    <w:rsid w:val="003521FD"/>
    <w:rsid w:val="0035291A"/>
    <w:rsid w:val="0035381D"/>
    <w:rsid w:val="003538C1"/>
    <w:rsid w:val="00355A4D"/>
    <w:rsid w:val="00355B25"/>
    <w:rsid w:val="00356C47"/>
    <w:rsid w:val="003603A4"/>
    <w:rsid w:val="0036131A"/>
    <w:rsid w:val="00361A7A"/>
    <w:rsid w:val="003626D0"/>
    <w:rsid w:val="003628C0"/>
    <w:rsid w:val="00362C99"/>
    <w:rsid w:val="00363275"/>
    <w:rsid w:val="00363C65"/>
    <w:rsid w:val="0036419D"/>
    <w:rsid w:val="0036583C"/>
    <w:rsid w:val="003670CA"/>
    <w:rsid w:val="00367562"/>
    <w:rsid w:val="00371012"/>
    <w:rsid w:val="00371E57"/>
    <w:rsid w:val="00372020"/>
    <w:rsid w:val="0037345E"/>
    <w:rsid w:val="003735C1"/>
    <w:rsid w:val="00373880"/>
    <w:rsid w:val="00373E44"/>
    <w:rsid w:val="00374438"/>
    <w:rsid w:val="00380852"/>
    <w:rsid w:val="00380A0B"/>
    <w:rsid w:val="00381772"/>
    <w:rsid w:val="00381B70"/>
    <w:rsid w:val="003826A1"/>
    <w:rsid w:val="00382AAB"/>
    <w:rsid w:val="00382CFB"/>
    <w:rsid w:val="00383B95"/>
    <w:rsid w:val="003843C0"/>
    <w:rsid w:val="003856DA"/>
    <w:rsid w:val="00385739"/>
    <w:rsid w:val="00385CD0"/>
    <w:rsid w:val="0038722E"/>
    <w:rsid w:val="003878C6"/>
    <w:rsid w:val="0039026C"/>
    <w:rsid w:val="00390882"/>
    <w:rsid w:val="003908A5"/>
    <w:rsid w:val="0039105A"/>
    <w:rsid w:val="00391F31"/>
    <w:rsid w:val="00392406"/>
    <w:rsid w:val="00392B28"/>
    <w:rsid w:val="00393BA0"/>
    <w:rsid w:val="0039436B"/>
    <w:rsid w:val="00394527"/>
    <w:rsid w:val="00394CC6"/>
    <w:rsid w:val="00394D9B"/>
    <w:rsid w:val="003956E0"/>
    <w:rsid w:val="003960EC"/>
    <w:rsid w:val="0039671B"/>
    <w:rsid w:val="00397E07"/>
    <w:rsid w:val="00397E63"/>
    <w:rsid w:val="00397FDA"/>
    <w:rsid w:val="003A091C"/>
    <w:rsid w:val="003A1820"/>
    <w:rsid w:val="003A2067"/>
    <w:rsid w:val="003A3ABB"/>
    <w:rsid w:val="003A4167"/>
    <w:rsid w:val="003A4616"/>
    <w:rsid w:val="003A4F9E"/>
    <w:rsid w:val="003A5DEE"/>
    <w:rsid w:val="003A6404"/>
    <w:rsid w:val="003A6558"/>
    <w:rsid w:val="003A6BDE"/>
    <w:rsid w:val="003B0307"/>
    <w:rsid w:val="003B044F"/>
    <w:rsid w:val="003B0C7D"/>
    <w:rsid w:val="003B1033"/>
    <w:rsid w:val="003B2C4D"/>
    <w:rsid w:val="003B438B"/>
    <w:rsid w:val="003B43DE"/>
    <w:rsid w:val="003B44AF"/>
    <w:rsid w:val="003B48EF"/>
    <w:rsid w:val="003B49CE"/>
    <w:rsid w:val="003B539C"/>
    <w:rsid w:val="003B5F7C"/>
    <w:rsid w:val="003B6202"/>
    <w:rsid w:val="003B6656"/>
    <w:rsid w:val="003B785A"/>
    <w:rsid w:val="003B7AB3"/>
    <w:rsid w:val="003B7DD4"/>
    <w:rsid w:val="003B7F0C"/>
    <w:rsid w:val="003C16F2"/>
    <w:rsid w:val="003C1BB4"/>
    <w:rsid w:val="003C2282"/>
    <w:rsid w:val="003C279E"/>
    <w:rsid w:val="003C3A9D"/>
    <w:rsid w:val="003C4174"/>
    <w:rsid w:val="003C421B"/>
    <w:rsid w:val="003C444F"/>
    <w:rsid w:val="003C5607"/>
    <w:rsid w:val="003C6101"/>
    <w:rsid w:val="003C62CC"/>
    <w:rsid w:val="003C6D84"/>
    <w:rsid w:val="003C79D0"/>
    <w:rsid w:val="003C7FA8"/>
    <w:rsid w:val="003D0114"/>
    <w:rsid w:val="003D0740"/>
    <w:rsid w:val="003D21FF"/>
    <w:rsid w:val="003D2381"/>
    <w:rsid w:val="003D34C3"/>
    <w:rsid w:val="003D3646"/>
    <w:rsid w:val="003D3874"/>
    <w:rsid w:val="003D45CB"/>
    <w:rsid w:val="003D485C"/>
    <w:rsid w:val="003D53DD"/>
    <w:rsid w:val="003D5DBF"/>
    <w:rsid w:val="003D65BF"/>
    <w:rsid w:val="003D6988"/>
    <w:rsid w:val="003D703C"/>
    <w:rsid w:val="003D704C"/>
    <w:rsid w:val="003D79E2"/>
    <w:rsid w:val="003E0086"/>
    <w:rsid w:val="003E0410"/>
    <w:rsid w:val="003E0EFC"/>
    <w:rsid w:val="003E0FAA"/>
    <w:rsid w:val="003E2107"/>
    <w:rsid w:val="003E26A0"/>
    <w:rsid w:val="003E2B82"/>
    <w:rsid w:val="003E3575"/>
    <w:rsid w:val="003E3B13"/>
    <w:rsid w:val="003E43BF"/>
    <w:rsid w:val="003E4627"/>
    <w:rsid w:val="003E6464"/>
    <w:rsid w:val="003E6481"/>
    <w:rsid w:val="003E76BA"/>
    <w:rsid w:val="003E780C"/>
    <w:rsid w:val="003E7A58"/>
    <w:rsid w:val="003E7C90"/>
    <w:rsid w:val="003F0371"/>
    <w:rsid w:val="003F3212"/>
    <w:rsid w:val="003F3297"/>
    <w:rsid w:val="003F36E2"/>
    <w:rsid w:val="003F3D5E"/>
    <w:rsid w:val="003F3E23"/>
    <w:rsid w:val="003F419B"/>
    <w:rsid w:val="003F4696"/>
    <w:rsid w:val="003F5D49"/>
    <w:rsid w:val="003F646D"/>
    <w:rsid w:val="003F6FFB"/>
    <w:rsid w:val="003F7051"/>
    <w:rsid w:val="003F74C0"/>
    <w:rsid w:val="003F757F"/>
    <w:rsid w:val="00401413"/>
    <w:rsid w:val="00401572"/>
    <w:rsid w:val="00401658"/>
    <w:rsid w:val="0040273E"/>
    <w:rsid w:val="00402A9F"/>
    <w:rsid w:val="0040399B"/>
    <w:rsid w:val="0040419C"/>
    <w:rsid w:val="00404E99"/>
    <w:rsid w:val="0040592D"/>
    <w:rsid w:val="004064EB"/>
    <w:rsid w:val="0040677C"/>
    <w:rsid w:val="00407D8F"/>
    <w:rsid w:val="00410917"/>
    <w:rsid w:val="00411814"/>
    <w:rsid w:val="00411BD8"/>
    <w:rsid w:val="00411F53"/>
    <w:rsid w:val="0041246C"/>
    <w:rsid w:val="004130A4"/>
    <w:rsid w:val="004131E1"/>
    <w:rsid w:val="004139E9"/>
    <w:rsid w:val="00413CB5"/>
    <w:rsid w:val="00414000"/>
    <w:rsid w:val="00414083"/>
    <w:rsid w:val="00414FB9"/>
    <w:rsid w:val="004150DE"/>
    <w:rsid w:val="004152C6"/>
    <w:rsid w:val="00416AE5"/>
    <w:rsid w:val="004171BE"/>
    <w:rsid w:val="004172C8"/>
    <w:rsid w:val="00417F15"/>
    <w:rsid w:val="0042043A"/>
    <w:rsid w:val="004205B7"/>
    <w:rsid w:val="004208B9"/>
    <w:rsid w:val="00421B7C"/>
    <w:rsid w:val="00422E16"/>
    <w:rsid w:val="00422E86"/>
    <w:rsid w:val="00422EBE"/>
    <w:rsid w:val="00423075"/>
    <w:rsid w:val="00423B64"/>
    <w:rsid w:val="00423E7D"/>
    <w:rsid w:val="00424792"/>
    <w:rsid w:val="004248CB"/>
    <w:rsid w:val="00424F03"/>
    <w:rsid w:val="00425B27"/>
    <w:rsid w:val="00425C22"/>
    <w:rsid w:val="00425FEB"/>
    <w:rsid w:val="00426180"/>
    <w:rsid w:val="004269BD"/>
    <w:rsid w:val="00426BBF"/>
    <w:rsid w:val="00426ED5"/>
    <w:rsid w:val="00427149"/>
    <w:rsid w:val="004278F2"/>
    <w:rsid w:val="00427B04"/>
    <w:rsid w:val="0043026B"/>
    <w:rsid w:val="00430737"/>
    <w:rsid w:val="004322E0"/>
    <w:rsid w:val="004323B1"/>
    <w:rsid w:val="004327B4"/>
    <w:rsid w:val="00432A6A"/>
    <w:rsid w:val="004333D9"/>
    <w:rsid w:val="004333F1"/>
    <w:rsid w:val="0043426D"/>
    <w:rsid w:val="004351D2"/>
    <w:rsid w:val="0043608E"/>
    <w:rsid w:val="0043676B"/>
    <w:rsid w:val="00436D78"/>
    <w:rsid w:val="00436F32"/>
    <w:rsid w:val="004370F4"/>
    <w:rsid w:val="00437E0B"/>
    <w:rsid w:val="0044006A"/>
    <w:rsid w:val="004408E9"/>
    <w:rsid w:val="00444677"/>
    <w:rsid w:val="004449FB"/>
    <w:rsid w:val="00445D05"/>
    <w:rsid w:val="004468FE"/>
    <w:rsid w:val="00447859"/>
    <w:rsid w:val="00447AD9"/>
    <w:rsid w:val="00447E4E"/>
    <w:rsid w:val="0045055A"/>
    <w:rsid w:val="00450952"/>
    <w:rsid w:val="004514F6"/>
    <w:rsid w:val="00451752"/>
    <w:rsid w:val="00451C91"/>
    <w:rsid w:val="00451E64"/>
    <w:rsid w:val="004523D1"/>
    <w:rsid w:val="004532F9"/>
    <w:rsid w:val="00454931"/>
    <w:rsid w:val="00454B1F"/>
    <w:rsid w:val="00454D53"/>
    <w:rsid w:val="00454F5B"/>
    <w:rsid w:val="00455390"/>
    <w:rsid w:val="004554FD"/>
    <w:rsid w:val="00455DD7"/>
    <w:rsid w:val="00457329"/>
    <w:rsid w:val="00460E0A"/>
    <w:rsid w:val="00461235"/>
    <w:rsid w:val="00461A69"/>
    <w:rsid w:val="00461E68"/>
    <w:rsid w:val="00462607"/>
    <w:rsid w:val="004635CF"/>
    <w:rsid w:val="0046394E"/>
    <w:rsid w:val="00463C42"/>
    <w:rsid w:val="00463E72"/>
    <w:rsid w:val="00463F2B"/>
    <w:rsid w:val="00464BBE"/>
    <w:rsid w:val="00464E83"/>
    <w:rsid w:val="0046536A"/>
    <w:rsid w:val="004655EC"/>
    <w:rsid w:val="00465BB9"/>
    <w:rsid w:val="004666CE"/>
    <w:rsid w:val="00466CC8"/>
    <w:rsid w:val="00466E98"/>
    <w:rsid w:val="004702F6"/>
    <w:rsid w:val="004710C7"/>
    <w:rsid w:val="00473F37"/>
    <w:rsid w:val="00474015"/>
    <w:rsid w:val="00475989"/>
    <w:rsid w:val="004773C2"/>
    <w:rsid w:val="004773E2"/>
    <w:rsid w:val="004777DA"/>
    <w:rsid w:val="00477844"/>
    <w:rsid w:val="00480F48"/>
    <w:rsid w:val="004811D3"/>
    <w:rsid w:val="0048147C"/>
    <w:rsid w:val="00482672"/>
    <w:rsid w:val="00482879"/>
    <w:rsid w:val="00482F72"/>
    <w:rsid w:val="00483487"/>
    <w:rsid w:val="00484DEF"/>
    <w:rsid w:val="0049035A"/>
    <w:rsid w:val="00490DDA"/>
    <w:rsid w:val="00490F84"/>
    <w:rsid w:val="00491214"/>
    <w:rsid w:val="004923D8"/>
    <w:rsid w:val="00493910"/>
    <w:rsid w:val="00493E37"/>
    <w:rsid w:val="00495158"/>
    <w:rsid w:val="00495C4C"/>
    <w:rsid w:val="00497F31"/>
    <w:rsid w:val="004A01DA"/>
    <w:rsid w:val="004A076D"/>
    <w:rsid w:val="004A146C"/>
    <w:rsid w:val="004A19CA"/>
    <w:rsid w:val="004A2ED0"/>
    <w:rsid w:val="004A326B"/>
    <w:rsid w:val="004A3298"/>
    <w:rsid w:val="004A3303"/>
    <w:rsid w:val="004A4C2E"/>
    <w:rsid w:val="004A593B"/>
    <w:rsid w:val="004A5CC7"/>
    <w:rsid w:val="004A683D"/>
    <w:rsid w:val="004A7243"/>
    <w:rsid w:val="004B04CD"/>
    <w:rsid w:val="004B073F"/>
    <w:rsid w:val="004B0A9A"/>
    <w:rsid w:val="004B1A99"/>
    <w:rsid w:val="004B1D78"/>
    <w:rsid w:val="004B20C1"/>
    <w:rsid w:val="004B20F5"/>
    <w:rsid w:val="004B347C"/>
    <w:rsid w:val="004B3E49"/>
    <w:rsid w:val="004B44A9"/>
    <w:rsid w:val="004B4E37"/>
    <w:rsid w:val="004B50B4"/>
    <w:rsid w:val="004B676A"/>
    <w:rsid w:val="004B6BD2"/>
    <w:rsid w:val="004B7A6D"/>
    <w:rsid w:val="004C0794"/>
    <w:rsid w:val="004C09AC"/>
    <w:rsid w:val="004C0AAB"/>
    <w:rsid w:val="004C1A81"/>
    <w:rsid w:val="004C1FBD"/>
    <w:rsid w:val="004C2311"/>
    <w:rsid w:val="004C25D1"/>
    <w:rsid w:val="004C2FF1"/>
    <w:rsid w:val="004C3710"/>
    <w:rsid w:val="004C4D3E"/>
    <w:rsid w:val="004C6B44"/>
    <w:rsid w:val="004C6E5E"/>
    <w:rsid w:val="004C7C58"/>
    <w:rsid w:val="004D1006"/>
    <w:rsid w:val="004D1A56"/>
    <w:rsid w:val="004D1AAF"/>
    <w:rsid w:val="004D24B5"/>
    <w:rsid w:val="004D2990"/>
    <w:rsid w:val="004D30A8"/>
    <w:rsid w:val="004D3321"/>
    <w:rsid w:val="004D35EE"/>
    <w:rsid w:val="004D3771"/>
    <w:rsid w:val="004D557E"/>
    <w:rsid w:val="004D6517"/>
    <w:rsid w:val="004D6C66"/>
    <w:rsid w:val="004E01B1"/>
    <w:rsid w:val="004E0CBC"/>
    <w:rsid w:val="004E10A2"/>
    <w:rsid w:val="004E1918"/>
    <w:rsid w:val="004E19CF"/>
    <w:rsid w:val="004E1EBF"/>
    <w:rsid w:val="004E1F4F"/>
    <w:rsid w:val="004E1FBB"/>
    <w:rsid w:val="004E21FA"/>
    <w:rsid w:val="004E2431"/>
    <w:rsid w:val="004E2DB0"/>
    <w:rsid w:val="004E2F42"/>
    <w:rsid w:val="004E3357"/>
    <w:rsid w:val="004E4E36"/>
    <w:rsid w:val="004E593E"/>
    <w:rsid w:val="004E5C13"/>
    <w:rsid w:val="004E5CBC"/>
    <w:rsid w:val="004E5DE9"/>
    <w:rsid w:val="004E6CBA"/>
    <w:rsid w:val="004E6EB3"/>
    <w:rsid w:val="004E786F"/>
    <w:rsid w:val="004E7C6B"/>
    <w:rsid w:val="004F1007"/>
    <w:rsid w:val="004F13D2"/>
    <w:rsid w:val="004F1AAE"/>
    <w:rsid w:val="004F1E87"/>
    <w:rsid w:val="004F25F8"/>
    <w:rsid w:val="004F44C8"/>
    <w:rsid w:val="004F475A"/>
    <w:rsid w:val="004F615E"/>
    <w:rsid w:val="004F68B9"/>
    <w:rsid w:val="004F6C5F"/>
    <w:rsid w:val="00500121"/>
    <w:rsid w:val="0050034A"/>
    <w:rsid w:val="005014F4"/>
    <w:rsid w:val="0050180D"/>
    <w:rsid w:val="005028F4"/>
    <w:rsid w:val="00503DFE"/>
    <w:rsid w:val="00504147"/>
    <w:rsid w:val="005044BE"/>
    <w:rsid w:val="00506D13"/>
    <w:rsid w:val="0050789A"/>
    <w:rsid w:val="00510563"/>
    <w:rsid w:val="0051131C"/>
    <w:rsid w:val="005113B8"/>
    <w:rsid w:val="00511A47"/>
    <w:rsid w:val="00511DFD"/>
    <w:rsid w:val="0051266C"/>
    <w:rsid w:val="00512780"/>
    <w:rsid w:val="00512990"/>
    <w:rsid w:val="0051320A"/>
    <w:rsid w:val="00513432"/>
    <w:rsid w:val="005140B5"/>
    <w:rsid w:val="00514AB4"/>
    <w:rsid w:val="00515EC0"/>
    <w:rsid w:val="00517ECA"/>
    <w:rsid w:val="00520A9E"/>
    <w:rsid w:val="00521E20"/>
    <w:rsid w:val="00521FC9"/>
    <w:rsid w:val="005223A3"/>
    <w:rsid w:val="00522B02"/>
    <w:rsid w:val="0052450C"/>
    <w:rsid w:val="005246E1"/>
    <w:rsid w:val="005248DF"/>
    <w:rsid w:val="005249EF"/>
    <w:rsid w:val="00524FB4"/>
    <w:rsid w:val="005255FA"/>
    <w:rsid w:val="005262CC"/>
    <w:rsid w:val="00526467"/>
    <w:rsid w:val="005271D6"/>
    <w:rsid w:val="005277ED"/>
    <w:rsid w:val="00527BC5"/>
    <w:rsid w:val="00527E32"/>
    <w:rsid w:val="00530B41"/>
    <w:rsid w:val="005315A4"/>
    <w:rsid w:val="00531B86"/>
    <w:rsid w:val="00531D84"/>
    <w:rsid w:val="0053262E"/>
    <w:rsid w:val="00532EDB"/>
    <w:rsid w:val="005335DC"/>
    <w:rsid w:val="005336E2"/>
    <w:rsid w:val="00533EBF"/>
    <w:rsid w:val="005345BB"/>
    <w:rsid w:val="00534EC0"/>
    <w:rsid w:val="005351A2"/>
    <w:rsid w:val="005353EF"/>
    <w:rsid w:val="005357AB"/>
    <w:rsid w:val="00535DA8"/>
    <w:rsid w:val="00536436"/>
    <w:rsid w:val="0053664D"/>
    <w:rsid w:val="005368C7"/>
    <w:rsid w:val="00537127"/>
    <w:rsid w:val="005377AA"/>
    <w:rsid w:val="005402EC"/>
    <w:rsid w:val="005417AE"/>
    <w:rsid w:val="0054188A"/>
    <w:rsid w:val="00541A55"/>
    <w:rsid w:val="00541AA5"/>
    <w:rsid w:val="00541D7A"/>
    <w:rsid w:val="00543A80"/>
    <w:rsid w:val="00543BA4"/>
    <w:rsid w:val="00544238"/>
    <w:rsid w:val="005442C2"/>
    <w:rsid w:val="00544A21"/>
    <w:rsid w:val="005458B7"/>
    <w:rsid w:val="00545D89"/>
    <w:rsid w:val="00546296"/>
    <w:rsid w:val="0054634A"/>
    <w:rsid w:val="00546C4A"/>
    <w:rsid w:val="0054718A"/>
    <w:rsid w:val="0055084D"/>
    <w:rsid w:val="00550C5C"/>
    <w:rsid w:val="005512B0"/>
    <w:rsid w:val="005519CA"/>
    <w:rsid w:val="00553850"/>
    <w:rsid w:val="005544E8"/>
    <w:rsid w:val="005547C3"/>
    <w:rsid w:val="0055567F"/>
    <w:rsid w:val="005562C0"/>
    <w:rsid w:val="0055680C"/>
    <w:rsid w:val="00556A7C"/>
    <w:rsid w:val="00556C67"/>
    <w:rsid w:val="0055730A"/>
    <w:rsid w:val="00560006"/>
    <w:rsid w:val="00560285"/>
    <w:rsid w:val="005604AB"/>
    <w:rsid w:val="005607A9"/>
    <w:rsid w:val="00561596"/>
    <w:rsid w:val="0056215A"/>
    <w:rsid w:val="00562D09"/>
    <w:rsid w:val="00563293"/>
    <w:rsid w:val="0056468E"/>
    <w:rsid w:val="005663B7"/>
    <w:rsid w:val="00566EAC"/>
    <w:rsid w:val="005671F1"/>
    <w:rsid w:val="005679C4"/>
    <w:rsid w:val="00567DFB"/>
    <w:rsid w:val="00567E18"/>
    <w:rsid w:val="00572084"/>
    <w:rsid w:val="00572099"/>
    <w:rsid w:val="00572145"/>
    <w:rsid w:val="00573931"/>
    <w:rsid w:val="00574EC6"/>
    <w:rsid w:val="005752CA"/>
    <w:rsid w:val="0057556D"/>
    <w:rsid w:val="00575757"/>
    <w:rsid w:val="00576128"/>
    <w:rsid w:val="0057740D"/>
    <w:rsid w:val="005808C5"/>
    <w:rsid w:val="00582E85"/>
    <w:rsid w:val="00582EF2"/>
    <w:rsid w:val="00583A8C"/>
    <w:rsid w:val="005840C6"/>
    <w:rsid w:val="0058490C"/>
    <w:rsid w:val="005856AD"/>
    <w:rsid w:val="00586071"/>
    <w:rsid w:val="00586162"/>
    <w:rsid w:val="00586474"/>
    <w:rsid w:val="00586644"/>
    <w:rsid w:val="00586F50"/>
    <w:rsid w:val="0058703A"/>
    <w:rsid w:val="00587650"/>
    <w:rsid w:val="0059019E"/>
    <w:rsid w:val="0059048E"/>
    <w:rsid w:val="00590518"/>
    <w:rsid w:val="00590C0F"/>
    <w:rsid w:val="00590FD9"/>
    <w:rsid w:val="00591043"/>
    <w:rsid w:val="0059165F"/>
    <w:rsid w:val="00591A6E"/>
    <w:rsid w:val="00592E0B"/>
    <w:rsid w:val="00592FBD"/>
    <w:rsid w:val="005936F6"/>
    <w:rsid w:val="00593CB6"/>
    <w:rsid w:val="005942E3"/>
    <w:rsid w:val="005946D0"/>
    <w:rsid w:val="0059693D"/>
    <w:rsid w:val="005971C3"/>
    <w:rsid w:val="00597BD6"/>
    <w:rsid w:val="005A05B3"/>
    <w:rsid w:val="005A1B2D"/>
    <w:rsid w:val="005A2BC0"/>
    <w:rsid w:val="005A2EE0"/>
    <w:rsid w:val="005A3695"/>
    <w:rsid w:val="005A390F"/>
    <w:rsid w:val="005A4C41"/>
    <w:rsid w:val="005A4D0D"/>
    <w:rsid w:val="005A4DD5"/>
    <w:rsid w:val="005A5263"/>
    <w:rsid w:val="005A6786"/>
    <w:rsid w:val="005A68FC"/>
    <w:rsid w:val="005A6FF0"/>
    <w:rsid w:val="005A71B0"/>
    <w:rsid w:val="005A7E06"/>
    <w:rsid w:val="005B0807"/>
    <w:rsid w:val="005B1BC4"/>
    <w:rsid w:val="005B2D55"/>
    <w:rsid w:val="005B390E"/>
    <w:rsid w:val="005B42D6"/>
    <w:rsid w:val="005B4DD3"/>
    <w:rsid w:val="005C0659"/>
    <w:rsid w:val="005C1478"/>
    <w:rsid w:val="005C19E3"/>
    <w:rsid w:val="005C1D49"/>
    <w:rsid w:val="005C1D72"/>
    <w:rsid w:val="005C2B89"/>
    <w:rsid w:val="005C3043"/>
    <w:rsid w:val="005C3ADE"/>
    <w:rsid w:val="005C4267"/>
    <w:rsid w:val="005C4A5C"/>
    <w:rsid w:val="005C4FBA"/>
    <w:rsid w:val="005C5A67"/>
    <w:rsid w:val="005C6FD9"/>
    <w:rsid w:val="005C755B"/>
    <w:rsid w:val="005C7C85"/>
    <w:rsid w:val="005D0466"/>
    <w:rsid w:val="005D1090"/>
    <w:rsid w:val="005D1ACB"/>
    <w:rsid w:val="005D44FE"/>
    <w:rsid w:val="005D5E30"/>
    <w:rsid w:val="005D65C7"/>
    <w:rsid w:val="005D6B13"/>
    <w:rsid w:val="005D7567"/>
    <w:rsid w:val="005E00E1"/>
    <w:rsid w:val="005E014B"/>
    <w:rsid w:val="005E014C"/>
    <w:rsid w:val="005E0EEA"/>
    <w:rsid w:val="005E14A1"/>
    <w:rsid w:val="005E226F"/>
    <w:rsid w:val="005E2DD5"/>
    <w:rsid w:val="005E3C13"/>
    <w:rsid w:val="005E4E27"/>
    <w:rsid w:val="005E521C"/>
    <w:rsid w:val="005E5813"/>
    <w:rsid w:val="005E61E7"/>
    <w:rsid w:val="005E7D8B"/>
    <w:rsid w:val="005F1770"/>
    <w:rsid w:val="005F219D"/>
    <w:rsid w:val="005F23DB"/>
    <w:rsid w:val="005F2469"/>
    <w:rsid w:val="005F2E92"/>
    <w:rsid w:val="005F3838"/>
    <w:rsid w:val="005F39EB"/>
    <w:rsid w:val="005F4AC7"/>
    <w:rsid w:val="005F58C9"/>
    <w:rsid w:val="005F5AE4"/>
    <w:rsid w:val="005F7529"/>
    <w:rsid w:val="005F75E4"/>
    <w:rsid w:val="005F7F3F"/>
    <w:rsid w:val="006001E7"/>
    <w:rsid w:val="006011CF"/>
    <w:rsid w:val="00601F2F"/>
    <w:rsid w:val="00602F70"/>
    <w:rsid w:val="006030F1"/>
    <w:rsid w:val="006030F7"/>
    <w:rsid w:val="006038D4"/>
    <w:rsid w:val="00603953"/>
    <w:rsid w:val="00603AA3"/>
    <w:rsid w:val="00604958"/>
    <w:rsid w:val="00604D14"/>
    <w:rsid w:val="006055DD"/>
    <w:rsid w:val="006075B8"/>
    <w:rsid w:val="006077F8"/>
    <w:rsid w:val="00610599"/>
    <w:rsid w:val="006115E2"/>
    <w:rsid w:val="00612FA3"/>
    <w:rsid w:val="0061417E"/>
    <w:rsid w:val="00614CA7"/>
    <w:rsid w:val="00614FF1"/>
    <w:rsid w:val="0061653D"/>
    <w:rsid w:val="006168C5"/>
    <w:rsid w:val="006173BE"/>
    <w:rsid w:val="00620186"/>
    <w:rsid w:val="00623B4A"/>
    <w:rsid w:val="00624781"/>
    <w:rsid w:val="00624932"/>
    <w:rsid w:val="00625A04"/>
    <w:rsid w:val="00625AFF"/>
    <w:rsid w:val="0062757F"/>
    <w:rsid w:val="0062793C"/>
    <w:rsid w:val="00630598"/>
    <w:rsid w:val="00630621"/>
    <w:rsid w:val="00631BAC"/>
    <w:rsid w:val="006320B3"/>
    <w:rsid w:val="0063349F"/>
    <w:rsid w:val="00633791"/>
    <w:rsid w:val="006337C9"/>
    <w:rsid w:val="0063486D"/>
    <w:rsid w:val="006352B5"/>
    <w:rsid w:val="006358CB"/>
    <w:rsid w:val="00635D1C"/>
    <w:rsid w:val="00636346"/>
    <w:rsid w:val="00636FAF"/>
    <w:rsid w:val="006378AA"/>
    <w:rsid w:val="00637FD9"/>
    <w:rsid w:val="00640E68"/>
    <w:rsid w:val="00643A11"/>
    <w:rsid w:val="00643F32"/>
    <w:rsid w:val="00644ACA"/>
    <w:rsid w:val="00647391"/>
    <w:rsid w:val="00647E2B"/>
    <w:rsid w:val="006506FA"/>
    <w:rsid w:val="00650C1A"/>
    <w:rsid w:val="00650E6B"/>
    <w:rsid w:val="00651558"/>
    <w:rsid w:val="006515AF"/>
    <w:rsid w:val="0065184E"/>
    <w:rsid w:val="00652A5A"/>
    <w:rsid w:val="00652DEA"/>
    <w:rsid w:val="006531E2"/>
    <w:rsid w:val="00653D4E"/>
    <w:rsid w:val="00653D61"/>
    <w:rsid w:val="006540DA"/>
    <w:rsid w:val="006548BA"/>
    <w:rsid w:val="0065497C"/>
    <w:rsid w:val="00655051"/>
    <w:rsid w:val="006560B8"/>
    <w:rsid w:val="006561F4"/>
    <w:rsid w:val="00656287"/>
    <w:rsid w:val="00656555"/>
    <w:rsid w:val="00660089"/>
    <w:rsid w:val="00661370"/>
    <w:rsid w:val="0066200B"/>
    <w:rsid w:val="00662DF4"/>
    <w:rsid w:val="006636DC"/>
    <w:rsid w:val="006640E0"/>
    <w:rsid w:val="0066477C"/>
    <w:rsid w:val="006654B4"/>
    <w:rsid w:val="00665C56"/>
    <w:rsid w:val="006666D5"/>
    <w:rsid w:val="00666AAC"/>
    <w:rsid w:val="00666EF9"/>
    <w:rsid w:val="00671BDC"/>
    <w:rsid w:val="00671C41"/>
    <w:rsid w:val="00672051"/>
    <w:rsid w:val="006723B1"/>
    <w:rsid w:val="00672400"/>
    <w:rsid w:val="00672893"/>
    <w:rsid w:val="0067293A"/>
    <w:rsid w:val="00672C3A"/>
    <w:rsid w:val="006733CF"/>
    <w:rsid w:val="00673498"/>
    <w:rsid w:val="00674592"/>
    <w:rsid w:val="00674EB5"/>
    <w:rsid w:val="00675713"/>
    <w:rsid w:val="00680144"/>
    <w:rsid w:val="00680671"/>
    <w:rsid w:val="00683F06"/>
    <w:rsid w:val="00684820"/>
    <w:rsid w:val="00684946"/>
    <w:rsid w:val="00684D3C"/>
    <w:rsid w:val="00684FFF"/>
    <w:rsid w:val="00685D06"/>
    <w:rsid w:val="00685D65"/>
    <w:rsid w:val="006861FD"/>
    <w:rsid w:val="0068668C"/>
    <w:rsid w:val="006873AA"/>
    <w:rsid w:val="006911C4"/>
    <w:rsid w:val="006928B8"/>
    <w:rsid w:val="00693273"/>
    <w:rsid w:val="0069454D"/>
    <w:rsid w:val="00695203"/>
    <w:rsid w:val="0069530B"/>
    <w:rsid w:val="006977DA"/>
    <w:rsid w:val="006A0844"/>
    <w:rsid w:val="006A0DBD"/>
    <w:rsid w:val="006A12C5"/>
    <w:rsid w:val="006A1CDD"/>
    <w:rsid w:val="006A2ABA"/>
    <w:rsid w:val="006A393E"/>
    <w:rsid w:val="006A3970"/>
    <w:rsid w:val="006A3EEC"/>
    <w:rsid w:val="006A439E"/>
    <w:rsid w:val="006A4D8F"/>
    <w:rsid w:val="006A59AB"/>
    <w:rsid w:val="006A5C7C"/>
    <w:rsid w:val="006A5E8F"/>
    <w:rsid w:val="006A66FC"/>
    <w:rsid w:val="006A7D8B"/>
    <w:rsid w:val="006B03AB"/>
    <w:rsid w:val="006B1AD7"/>
    <w:rsid w:val="006B1F8B"/>
    <w:rsid w:val="006B2887"/>
    <w:rsid w:val="006B3BA8"/>
    <w:rsid w:val="006B5433"/>
    <w:rsid w:val="006B589B"/>
    <w:rsid w:val="006B6633"/>
    <w:rsid w:val="006B664B"/>
    <w:rsid w:val="006B763D"/>
    <w:rsid w:val="006C0703"/>
    <w:rsid w:val="006C0732"/>
    <w:rsid w:val="006C0A80"/>
    <w:rsid w:val="006C10ED"/>
    <w:rsid w:val="006C24A5"/>
    <w:rsid w:val="006C27F6"/>
    <w:rsid w:val="006C3ABB"/>
    <w:rsid w:val="006C40D3"/>
    <w:rsid w:val="006C4D1E"/>
    <w:rsid w:val="006C5728"/>
    <w:rsid w:val="006C60C2"/>
    <w:rsid w:val="006C67B6"/>
    <w:rsid w:val="006C6B53"/>
    <w:rsid w:val="006C6CA7"/>
    <w:rsid w:val="006D1187"/>
    <w:rsid w:val="006D1362"/>
    <w:rsid w:val="006D1B27"/>
    <w:rsid w:val="006D25BA"/>
    <w:rsid w:val="006D2AE9"/>
    <w:rsid w:val="006D2C8D"/>
    <w:rsid w:val="006D2D35"/>
    <w:rsid w:val="006D3046"/>
    <w:rsid w:val="006D34C3"/>
    <w:rsid w:val="006D44E8"/>
    <w:rsid w:val="006D4CCC"/>
    <w:rsid w:val="006D57CC"/>
    <w:rsid w:val="006D635C"/>
    <w:rsid w:val="006D7D72"/>
    <w:rsid w:val="006E08D3"/>
    <w:rsid w:val="006E09DC"/>
    <w:rsid w:val="006E0D86"/>
    <w:rsid w:val="006E18B5"/>
    <w:rsid w:val="006E1DE9"/>
    <w:rsid w:val="006E1E15"/>
    <w:rsid w:val="006E1E91"/>
    <w:rsid w:val="006E2F4E"/>
    <w:rsid w:val="006E37BE"/>
    <w:rsid w:val="006E39F9"/>
    <w:rsid w:val="006E4C01"/>
    <w:rsid w:val="006E4C20"/>
    <w:rsid w:val="006E5110"/>
    <w:rsid w:val="006E66B9"/>
    <w:rsid w:val="006E6A91"/>
    <w:rsid w:val="006F021E"/>
    <w:rsid w:val="006F0DEF"/>
    <w:rsid w:val="006F15BA"/>
    <w:rsid w:val="006F1B59"/>
    <w:rsid w:val="006F1DD7"/>
    <w:rsid w:val="006F2B9E"/>
    <w:rsid w:val="006F336E"/>
    <w:rsid w:val="006F460F"/>
    <w:rsid w:val="006F46D8"/>
    <w:rsid w:val="006F4B3A"/>
    <w:rsid w:val="006F53C9"/>
    <w:rsid w:val="006F5FC3"/>
    <w:rsid w:val="006F673D"/>
    <w:rsid w:val="006F6FEB"/>
    <w:rsid w:val="00701C28"/>
    <w:rsid w:val="007022BA"/>
    <w:rsid w:val="00702BE1"/>
    <w:rsid w:val="00704076"/>
    <w:rsid w:val="007041E7"/>
    <w:rsid w:val="00704A13"/>
    <w:rsid w:val="0070620E"/>
    <w:rsid w:val="0070660C"/>
    <w:rsid w:val="0070751A"/>
    <w:rsid w:val="00707626"/>
    <w:rsid w:val="00707700"/>
    <w:rsid w:val="00710693"/>
    <w:rsid w:val="00711170"/>
    <w:rsid w:val="00711B13"/>
    <w:rsid w:val="00711E8B"/>
    <w:rsid w:val="00711EA4"/>
    <w:rsid w:val="00713C31"/>
    <w:rsid w:val="00713C79"/>
    <w:rsid w:val="00714B5E"/>
    <w:rsid w:val="0071516A"/>
    <w:rsid w:val="0071587A"/>
    <w:rsid w:val="00716191"/>
    <w:rsid w:val="007163A6"/>
    <w:rsid w:val="007165EE"/>
    <w:rsid w:val="0071671B"/>
    <w:rsid w:val="00716FA0"/>
    <w:rsid w:val="007171E2"/>
    <w:rsid w:val="0071756B"/>
    <w:rsid w:val="00717F87"/>
    <w:rsid w:val="007201C1"/>
    <w:rsid w:val="0072161B"/>
    <w:rsid w:val="007216F8"/>
    <w:rsid w:val="00723213"/>
    <w:rsid w:val="007234AA"/>
    <w:rsid w:val="00723E3B"/>
    <w:rsid w:val="007248A3"/>
    <w:rsid w:val="00725BB7"/>
    <w:rsid w:val="00725D8C"/>
    <w:rsid w:val="00726629"/>
    <w:rsid w:val="00726C98"/>
    <w:rsid w:val="007270AC"/>
    <w:rsid w:val="00727D0F"/>
    <w:rsid w:val="00727E45"/>
    <w:rsid w:val="007302A1"/>
    <w:rsid w:val="0073108C"/>
    <w:rsid w:val="0073164D"/>
    <w:rsid w:val="00731983"/>
    <w:rsid w:val="00731B0A"/>
    <w:rsid w:val="00732076"/>
    <w:rsid w:val="00733181"/>
    <w:rsid w:val="00733C1F"/>
    <w:rsid w:val="007343D8"/>
    <w:rsid w:val="007345AA"/>
    <w:rsid w:val="00735856"/>
    <w:rsid w:val="00736D87"/>
    <w:rsid w:val="0073701A"/>
    <w:rsid w:val="00737C0C"/>
    <w:rsid w:val="007407A9"/>
    <w:rsid w:val="00740BE1"/>
    <w:rsid w:val="007427E1"/>
    <w:rsid w:val="0074351C"/>
    <w:rsid w:val="007437C5"/>
    <w:rsid w:val="00743A17"/>
    <w:rsid w:val="00743F72"/>
    <w:rsid w:val="00744B19"/>
    <w:rsid w:val="00745FFA"/>
    <w:rsid w:val="00750D02"/>
    <w:rsid w:val="00750FA5"/>
    <w:rsid w:val="00751EFF"/>
    <w:rsid w:val="00752C30"/>
    <w:rsid w:val="0075373B"/>
    <w:rsid w:val="0075478D"/>
    <w:rsid w:val="007547EF"/>
    <w:rsid w:val="0075531F"/>
    <w:rsid w:val="007556E0"/>
    <w:rsid w:val="007560D3"/>
    <w:rsid w:val="00756194"/>
    <w:rsid w:val="0075671B"/>
    <w:rsid w:val="007570F5"/>
    <w:rsid w:val="0075750B"/>
    <w:rsid w:val="007576B1"/>
    <w:rsid w:val="007604A0"/>
    <w:rsid w:val="00760A71"/>
    <w:rsid w:val="00761639"/>
    <w:rsid w:val="007618D6"/>
    <w:rsid w:val="00763233"/>
    <w:rsid w:val="007632F5"/>
    <w:rsid w:val="00763E4C"/>
    <w:rsid w:val="00766B67"/>
    <w:rsid w:val="00766D8C"/>
    <w:rsid w:val="0077026E"/>
    <w:rsid w:val="00770F06"/>
    <w:rsid w:val="0077267A"/>
    <w:rsid w:val="00773077"/>
    <w:rsid w:val="00773656"/>
    <w:rsid w:val="00774C81"/>
    <w:rsid w:val="0077512D"/>
    <w:rsid w:val="00775194"/>
    <w:rsid w:val="00776528"/>
    <w:rsid w:val="0077662F"/>
    <w:rsid w:val="00776D88"/>
    <w:rsid w:val="007770AA"/>
    <w:rsid w:val="0077731B"/>
    <w:rsid w:val="00780365"/>
    <w:rsid w:val="007809B1"/>
    <w:rsid w:val="007812FA"/>
    <w:rsid w:val="007818D0"/>
    <w:rsid w:val="0078362B"/>
    <w:rsid w:val="00784B69"/>
    <w:rsid w:val="00784C28"/>
    <w:rsid w:val="0078529F"/>
    <w:rsid w:val="007859EF"/>
    <w:rsid w:val="00785BDA"/>
    <w:rsid w:val="00790D8D"/>
    <w:rsid w:val="0079103A"/>
    <w:rsid w:val="007913D7"/>
    <w:rsid w:val="00792744"/>
    <w:rsid w:val="007930B1"/>
    <w:rsid w:val="00793F37"/>
    <w:rsid w:val="0079470F"/>
    <w:rsid w:val="00794C0B"/>
    <w:rsid w:val="00795CBE"/>
    <w:rsid w:val="00796025"/>
    <w:rsid w:val="00796BD0"/>
    <w:rsid w:val="007976C3"/>
    <w:rsid w:val="00797B03"/>
    <w:rsid w:val="007A0397"/>
    <w:rsid w:val="007A06CB"/>
    <w:rsid w:val="007A0C9E"/>
    <w:rsid w:val="007A130B"/>
    <w:rsid w:val="007A1454"/>
    <w:rsid w:val="007A32EC"/>
    <w:rsid w:val="007A34D6"/>
    <w:rsid w:val="007A3CC4"/>
    <w:rsid w:val="007A4443"/>
    <w:rsid w:val="007A4F18"/>
    <w:rsid w:val="007A5396"/>
    <w:rsid w:val="007A6029"/>
    <w:rsid w:val="007A6099"/>
    <w:rsid w:val="007A7CFE"/>
    <w:rsid w:val="007B0AFD"/>
    <w:rsid w:val="007B0DFA"/>
    <w:rsid w:val="007B0F55"/>
    <w:rsid w:val="007B0FBB"/>
    <w:rsid w:val="007B4AFF"/>
    <w:rsid w:val="007B5501"/>
    <w:rsid w:val="007B587A"/>
    <w:rsid w:val="007B5C09"/>
    <w:rsid w:val="007B67C8"/>
    <w:rsid w:val="007B689A"/>
    <w:rsid w:val="007B7090"/>
    <w:rsid w:val="007C10D0"/>
    <w:rsid w:val="007C139F"/>
    <w:rsid w:val="007C144A"/>
    <w:rsid w:val="007C1492"/>
    <w:rsid w:val="007C183C"/>
    <w:rsid w:val="007C30B3"/>
    <w:rsid w:val="007C31D5"/>
    <w:rsid w:val="007C38CE"/>
    <w:rsid w:val="007C409F"/>
    <w:rsid w:val="007C5CE6"/>
    <w:rsid w:val="007C6B60"/>
    <w:rsid w:val="007C77A1"/>
    <w:rsid w:val="007C7D35"/>
    <w:rsid w:val="007C7D52"/>
    <w:rsid w:val="007D0910"/>
    <w:rsid w:val="007D0B44"/>
    <w:rsid w:val="007D1362"/>
    <w:rsid w:val="007D14B5"/>
    <w:rsid w:val="007D1EBD"/>
    <w:rsid w:val="007D2D54"/>
    <w:rsid w:val="007D373F"/>
    <w:rsid w:val="007D3F21"/>
    <w:rsid w:val="007D3F5F"/>
    <w:rsid w:val="007D485C"/>
    <w:rsid w:val="007D4A5D"/>
    <w:rsid w:val="007D6889"/>
    <w:rsid w:val="007D7D5E"/>
    <w:rsid w:val="007E0247"/>
    <w:rsid w:val="007E137A"/>
    <w:rsid w:val="007E16E4"/>
    <w:rsid w:val="007E1EBD"/>
    <w:rsid w:val="007E20F0"/>
    <w:rsid w:val="007E308C"/>
    <w:rsid w:val="007E317F"/>
    <w:rsid w:val="007E328C"/>
    <w:rsid w:val="007E3850"/>
    <w:rsid w:val="007E3945"/>
    <w:rsid w:val="007E4918"/>
    <w:rsid w:val="007E5D5F"/>
    <w:rsid w:val="007E5F62"/>
    <w:rsid w:val="007F02DE"/>
    <w:rsid w:val="007F03E7"/>
    <w:rsid w:val="007F0512"/>
    <w:rsid w:val="007F058D"/>
    <w:rsid w:val="007F05D2"/>
    <w:rsid w:val="007F09D6"/>
    <w:rsid w:val="007F109A"/>
    <w:rsid w:val="007F1130"/>
    <w:rsid w:val="007F192B"/>
    <w:rsid w:val="007F1B4A"/>
    <w:rsid w:val="007F1B4B"/>
    <w:rsid w:val="007F1DD0"/>
    <w:rsid w:val="007F2DAC"/>
    <w:rsid w:val="007F32A5"/>
    <w:rsid w:val="007F378F"/>
    <w:rsid w:val="007F4575"/>
    <w:rsid w:val="007F460F"/>
    <w:rsid w:val="007F47DC"/>
    <w:rsid w:val="007F48FA"/>
    <w:rsid w:val="007F4A31"/>
    <w:rsid w:val="007F55A6"/>
    <w:rsid w:val="007F67D2"/>
    <w:rsid w:val="007F6DFA"/>
    <w:rsid w:val="007F725C"/>
    <w:rsid w:val="007F7372"/>
    <w:rsid w:val="007F7F6E"/>
    <w:rsid w:val="008004BF"/>
    <w:rsid w:val="00800ED4"/>
    <w:rsid w:val="00801601"/>
    <w:rsid w:val="0080370D"/>
    <w:rsid w:val="0080373A"/>
    <w:rsid w:val="00805DA7"/>
    <w:rsid w:val="00805F1B"/>
    <w:rsid w:val="00807DFF"/>
    <w:rsid w:val="008103D5"/>
    <w:rsid w:val="008112DA"/>
    <w:rsid w:val="008120E1"/>
    <w:rsid w:val="0081228D"/>
    <w:rsid w:val="008126D6"/>
    <w:rsid w:val="00814FF3"/>
    <w:rsid w:val="008156FF"/>
    <w:rsid w:val="00815C97"/>
    <w:rsid w:val="0081617A"/>
    <w:rsid w:val="00817073"/>
    <w:rsid w:val="008170BF"/>
    <w:rsid w:val="0081732B"/>
    <w:rsid w:val="0082085A"/>
    <w:rsid w:val="00820C7D"/>
    <w:rsid w:val="00820D59"/>
    <w:rsid w:val="008211BD"/>
    <w:rsid w:val="0082347C"/>
    <w:rsid w:val="00824476"/>
    <w:rsid w:val="008246C3"/>
    <w:rsid w:val="00825A54"/>
    <w:rsid w:val="00826F91"/>
    <w:rsid w:val="00827353"/>
    <w:rsid w:val="008279B5"/>
    <w:rsid w:val="00830262"/>
    <w:rsid w:val="00830458"/>
    <w:rsid w:val="00831A5C"/>
    <w:rsid w:val="0083257B"/>
    <w:rsid w:val="00833280"/>
    <w:rsid w:val="008333CA"/>
    <w:rsid w:val="00834135"/>
    <w:rsid w:val="00835AED"/>
    <w:rsid w:val="008374CC"/>
    <w:rsid w:val="0084113C"/>
    <w:rsid w:val="00841575"/>
    <w:rsid w:val="00841671"/>
    <w:rsid w:val="0084264C"/>
    <w:rsid w:val="00843AD7"/>
    <w:rsid w:val="00843C8B"/>
    <w:rsid w:val="0084432F"/>
    <w:rsid w:val="00844A39"/>
    <w:rsid w:val="00845AFE"/>
    <w:rsid w:val="00847264"/>
    <w:rsid w:val="008477D9"/>
    <w:rsid w:val="008507E4"/>
    <w:rsid w:val="008509B9"/>
    <w:rsid w:val="00851321"/>
    <w:rsid w:val="008513DC"/>
    <w:rsid w:val="00853660"/>
    <w:rsid w:val="00853FE4"/>
    <w:rsid w:val="00854AEA"/>
    <w:rsid w:val="008559B3"/>
    <w:rsid w:val="00856605"/>
    <w:rsid w:val="008567E7"/>
    <w:rsid w:val="00860BBC"/>
    <w:rsid w:val="008610F6"/>
    <w:rsid w:val="00861EEE"/>
    <w:rsid w:val="00862825"/>
    <w:rsid w:val="008630EB"/>
    <w:rsid w:val="00863C99"/>
    <w:rsid w:val="00865104"/>
    <w:rsid w:val="00865BDC"/>
    <w:rsid w:val="00865C7A"/>
    <w:rsid w:val="008660DC"/>
    <w:rsid w:val="00866765"/>
    <w:rsid w:val="00866F25"/>
    <w:rsid w:val="008672AD"/>
    <w:rsid w:val="00870551"/>
    <w:rsid w:val="00871332"/>
    <w:rsid w:val="00871459"/>
    <w:rsid w:val="00871A2E"/>
    <w:rsid w:val="00871C3D"/>
    <w:rsid w:val="008721FD"/>
    <w:rsid w:val="0087220F"/>
    <w:rsid w:val="0087233B"/>
    <w:rsid w:val="008726E3"/>
    <w:rsid w:val="00872FE4"/>
    <w:rsid w:val="00873A23"/>
    <w:rsid w:val="00873A32"/>
    <w:rsid w:val="00874152"/>
    <w:rsid w:val="00875162"/>
    <w:rsid w:val="0087682C"/>
    <w:rsid w:val="00880464"/>
    <w:rsid w:val="008812CA"/>
    <w:rsid w:val="008816AE"/>
    <w:rsid w:val="00881E4C"/>
    <w:rsid w:val="00881E61"/>
    <w:rsid w:val="00882550"/>
    <w:rsid w:val="00882E4B"/>
    <w:rsid w:val="008835F3"/>
    <w:rsid w:val="00883CED"/>
    <w:rsid w:val="008840C4"/>
    <w:rsid w:val="00884305"/>
    <w:rsid w:val="0088460B"/>
    <w:rsid w:val="00884D72"/>
    <w:rsid w:val="00885944"/>
    <w:rsid w:val="00885B7D"/>
    <w:rsid w:val="00885BC3"/>
    <w:rsid w:val="008860B8"/>
    <w:rsid w:val="0088627B"/>
    <w:rsid w:val="00886A95"/>
    <w:rsid w:val="00887388"/>
    <w:rsid w:val="0088750B"/>
    <w:rsid w:val="00887E46"/>
    <w:rsid w:val="00890498"/>
    <w:rsid w:val="00890EB7"/>
    <w:rsid w:val="00891380"/>
    <w:rsid w:val="00891619"/>
    <w:rsid w:val="00892037"/>
    <w:rsid w:val="00892493"/>
    <w:rsid w:val="0089311E"/>
    <w:rsid w:val="00893512"/>
    <w:rsid w:val="008938FC"/>
    <w:rsid w:val="008939EA"/>
    <w:rsid w:val="008941F2"/>
    <w:rsid w:val="00894F66"/>
    <w:rsid w:val="00895060"/>
    <w:rsid w:val="00895604"/>
    <w:rsid w:val="0089594B"/>
    <w:rsid w:val="008963E0"/>
    <w:rsid w:val="00897AFB"/>
    <w:rsid w:val="00897D68"/>
    <w:rsid w:val="00897FBF"/>
    <w:rsid w:val="008A1BCB"/>
    <w:rsid w:val="008A26A1"/>
    <w:rsid w:val="008A3B5F"/>
    <w:rsid w:val="008A5043"/>
    <w:rsid w:val="008A554C"/>
    <w:rsid w:val="008A56D1"/>
    <w:rsid w:val="008A5CC7"/>
    <w:rsid w:val="008A6273"/>
    <w:rsid w:val="008A6350"/>
    <w:rsid w:val="008A6590"/>
    <w:rsid w:val="008A6745"/>
    <w:rsid w:val="008A69EB"/>
    <w:rsid w:val="008A7ABE"/>
    <w:rsid w:val="008A7E13"/>
    <w:rsid w:val="008B052D"/>
    <w:rsid w:val="008B063A"/>
    <w:rsid w:val="008B14CE"/>
    <w:rsid w:val="008B1D03"/>
    <w:rsid w:val="008B202A"/>
    <w:rsid w:val="008B375F"/>
    <w:rsid w:val="008B40DB"/>
    <w:rsid w:val="008B50E3"/>
    <w:rsid w:val="008B5759"/>
    <w:rsid w:val="008B5FE0"/>
    <w:rsid w:val="008B7060"/>
    <w:rsid w:val="008C1FC7"/>
    <w:rsid w:val="008C2770"/>
    <w:rsid w:val="008C2806"/>
    <w:rsid w:val="008C2883"/>
    <w:rsid w:val="008C2EAA"/>
    <w:rsid w:val="008C3142"/>
    <w:rsid w:val="008C4444"/>
    <w:rsid w:val="008C4D92"/>
    <w:rsid w:val="008C63FE"/>
    <w:rsid w:val="008C64D6"/>
    <w:rsid w:val="008C6544"/>
    <w:rsid w:val="008C6A75"/>
    <w:rsid w:val="008C7327"/>
    <w:rsid w:val="008C77AD"/>
    <w:rsid w:val="008C7F1F"/>
    <w:rsid w:val="008D0A04"/>
    <w:rsid w:val="008D15C0"/>
    <w:rsid w:val="008D1AE2"/>
    <w:rsid w:val="008D1E0C"/>
    <w:rsid w:val="008D255D"/>
    <w:rsid w:val="008D2774"/>
    <w:rsid w:val="008D2A16"/>
    <w:rsid w:val="008D2E82"/>
    <w:rsid w:val="008D3EF9"/>
    <w:rsid w:val="008D4424"/>
    <w:rsid w:val="008D4639"/>
    <w:rsid w:val="008D6382"/>
    <w:rsid w:val="008D668B"/>
    <w:rsid w:val="008D6ABF"/>
    <w:rsid w:val="008D6B62"/>
    <w:rsid w:val="008D6B7E"/>
    <w:rsid w:val="008D6E86"/>
    <w:rsid w:val="008D6F33"/>
    <w:rsid w:val="008D73A6"/>
    <w:rsid w:val="008E093B"/>
    <w:rsid w:val="008E1905"/>
    <w:rsid w:val="008E1CDE"/>
    <w:rsid w:val="008E48DF"/>
    <w:rsid w:val="008E4DEA"/>
    <w:rsid w:val="008E6267"/>
    <w:rsid w:val="008E62BA"/>
    <w:rsid w:val="008F07AD"/>
    <w:rsid w:val="008F0895"/>
    <w:rsid w:val="008F350C"/>
    <w:rsid w:val="008F3C65"/>
    <w:rsid w:val="008F3CA3"/>
    <w:rsid w:val="008F5A01"/>
    <w:rsid w:val="008F5BC6"/>
    <w:rsid w:val="008F6961"/>
    <w:rsid w:val="008F6B3E"/>
    <w:rsid w:val="008F7111"/>
    <w:rsid w:val="008F748E"/>
    <w:rsid w:val="008F7C0C"/>
    <w:rsid w:val="00900124"/>
    <w:rsid w:val="00900A6D"/>
    <w:rsid w:val="00900AE3"/>
    <w:rsid w:val="00901FA4"/>
    <w:rsid w:val="00903F5C"/>
    <w:rsid w:val="00904109"/>
    <w:rsid w:val="00905086"/>
    <w:rsid w:val="00905D98"/>
    <w:rsid w:val="00905F4F"/>
    <w:rsid w:val="00907B73"/>
    <w:rsid w:val="00911081"/>
    <w:rsid w:val="00911297"/>
    <w:rsid w:val="00911DE5"/>
    <w:rsid w:val="009125FE"/>
    <w:rsid w:val="009128CB"/>
    <w:rsid w:val="009130C6"/>
    <w:rsid w:val="00914C00"/>
    <w:rsid w:val="00915060"/>
    <w:rsid w:val="00915D28"/>
    <w:rsid w:val="009164EF"/>
    <w:rsid w:val="0091661C"/>
    <w:rsid w:val="009167F8"/>
    <w:rsid w:val="00916EB2"/>
    <w:rsid w:val="009174B8"/>
    <w:rsid w:val="00917A40"/>
    <w:rsid w:val="009209D8"/>
    <w:rsid w:val="00921C93"/>
    <w:rsid w:val="009231B8"/>
    <w:rsid w:val="00923A0B"/>
    <w:rsid w:val="00924EE8"/>
    <w:rsid w:val="00926903"/>
    <w:rsid w:val="0092696E"/>
    <w:rsid w:val="00927796"/>
    <w:rsid w:val="00927A5B"/>
    <w:rsid w:val="00927B0C"/>
    <w:rsid w:val="00930303"/>
    <w:rsid w:val="00930BB4"/>
    <w:rsid w:val="0093145D"/>
    <w:rsid w:val="00931845"/>
    <w:rsid w:val="00931E34"/>
    <w:rsid w:val="00932142"/>
    <w:rsid w:val="009328FF"/>
    <w:rsid w:val="00932B83"/>
    <w:rsid w:val="00933BEE"/>
    <w:rsid w:val="009340FA"/>
    <w:rsid w:val="00936BF3"/>
    <w:rsid w:val="00936FF9"/>
    <w:rsid w:val="00937479"/>
    <w:rsid w:val="0093762D"/>
    <w:rsid w:val="00937814"/>
    <w:rsid w:val="0094253F"/>
    <w:rsid w:val="00942716"/>
    <w:rsid w:val="0094343E"/>
    <w:rsid w:val="00943BE7"/>
    <w:rsid w:val="009449EA"/>
    <w:rsid w:val="009451F4"/>
    <w:rsid w:val="00946229"/>
    <w:rsid w:val="00946B1C"/>
    <w:rsid w:val="00950B22"/>
    <w:rsid w:val="009521B0"/>
    <w:rsid w:val="00953FCB"/>
    <w:rsid w:val="00954186"/>
    <w:rsid w:val="009541BB"/>
    <w:rsid w:val="009546F4"/>
    <w:rsid w:val="00954C18"/>
    <w:rsid w:val="00954E40"/>
    <w:rsid w:val="009556B3"/>
    <w:rsid w:val="00957840"/>
    <w:rsid w:val="00957A15"/>
    <w:rsid w:val="00961673"/>
    <w:rsid w:val="009616E6"/>
    <w:rsid w:val="00962222"/>
    <w:rsid w:val="009628ED"/>
    <w:rsid w:val="009631A2"/>
    <w:rsid w:val="00963C14"/>
    <w:rsid w:val="00964671"/>
    <w:rsid w:val="009646EC"/>
    <w:rsid w:val="009648DB"/>
    <w:rsid w:val="00964F38"/>
    <w:rsid w:val="009654E1"/>
    <w:rsid w:val="00965643"/>
    <w:rsid w:val="0096626D"/>
    <w:rsid w:val="009665D4"/>
    <w:rsid w:val="009667F1"/>
    <w:rsid w:val="00967826"/>
    <w:rsid w:val="009679BD"/>
    <w:rsid w:val="00967A1C"/>
    <w:rsid w:val="00967AC3"/>
    <w:rsid w:val="00967C70"/>
    <w:rsid w:val="00967E22"/>
    <w:rsid w:val="00967ED5"/>
    <w:rsid w:val="0097137C"/>
    <w:rsid w:val="009715A4"/>
    <w:rsid w:val="00973FF7"/>
    <w:rsid w:val="00976CFA"/>
    <w:rsid w:val="009778D6"/>
    <w:rsid w:val="009802C9"/>
    <w:rsid w:val="0098076F"/>
    <w:rsid w:val="0098143A"/>
    <w:rsid w:val="00981ADD"/>
    <w:rsid w:val="00982543"/>
    <w:rsid w:val="00982679"/>
    <w:rsid w:val="00982C12"/>
    <w:rsid w:val="00982EBD"/>
    <w:rsid w:val="009838EE"/>
    <w:rsid w:val="009838FF"/>
    <w:rsid w:val="00983964"/>
    <w:rsid w:val="00983E13"/>
    <w:rsid w:val="00985016"/>
    <w:rsid w:val="00985042"/>
    <w:rsid w:val="009861BB"/>
    <w:rsid w:val="00986468"/>
    <w:rsid w:val="00986848"/>
    <w:rsid w:val="009871F0"/>
    <w:rsid w:val="00990F5A"/>
    <w:rsid w:val="00991663"/>
    <w:rsid w:val="009918D9"/>
    <w:rsid w:val="00991B4C"/>
    <w:rsid w:val="0099270B"/>
    <w:rsid w:val="00993036"/>
    <w:rsid w:val="009947F0"/>
    <w:rsid w:val="00994C7E"/>
    <w:rsid w:val="00994E78"/>
    <w:rsid w:val="00995D68"/>
    <w:rsid w:val="009967D2"/>
    <w:rsid w:val="0099708D"/>
    <w:rsid w:val="009973B0"/>
    <w:rsid w:val="00997ECF"/>
    <w:rsid w:val="009A0DB5"/>
    <w:rsid w:val="009A21F4"/>
    <w:rsid w:val="009A2A8A"/>
    <w:rsid w:val="009A2B9F"/>
    <w:rsid w:val="009A3007"/>
    <w:rsid w:val="009A30FF"/>
    <w:rsid w:val="009A31D3"/>
    <w:rsid w:val="009A3657"/>
    <w:rsid w:val="009A44BE"/>
    <w:rsid w:val="009A492A"/>
    <w:rsid w:val="009A50CA"/>
    <w:rsid w:val="009A62AE"/>
    <w:rsid w:val="009A7000"/>
    <w:rsid w:val="009A7ECD"/>
    <w:rsid w:val="009A7F5D"/>
    <w:rsid w:val="009B1599"/>
    <w:rsid w:val="009B159E"/>
    <w:rsid w:val="009B1774"/>
    <w:rsid w:val="009B1C23"/>
    <w:rsid w:val="009B22A6"/>
    <w:rsid w:val="009B33C6"/>
    <w:rsid w:val="009B4368"/>
    <w:rsid w:val="009B4453"/>
    <w:rsid w:val="009B4886"/>
    <w:rsid w:val="009B4976"/>
    <w:rsid w:val="009B58AB"/>
    <w:rsid w:val="009B779D"/>
    <w:rsid w:val="009B7B8E"/>
    <w:rsid w:val="009B7C46"/>
    <w:rsid w:val="009C133C"/>
    <w:rsid w:val="009C136A"/>
    <w:rsid w:val="009C14D5"/>
    <w:rsid w:val="009C19B1"/>
    <w:rsid w:val="009C273F"/>
    <w:rsid w:val="009C2D5B"/>
    <w:rsid w:val="009C2FEA"/>
    <w:rsid w:val="009C31C6"/>
    <w:rsid w:val="009C3912"/>
    <w:rsid w:val="009C441A"/>
    <w:rsid w:val="009C46B0"/>
    <w:rsid w:val="009C4EBF"/>
    <w:rsid w:val="009C50D4"/>
    <w:rsid w:val="009C5324"/>
    <w:rsid w:val="009C5B40"/>
    <w:rsid w:val="009C5B9B"/>
    <w:rsid w:val="009C5C88"/>
    <w:rsid w:val="009C6170"/>
    <w:rsid w:val="009C6567"/>
    <w:rsid w:val="009C7E77"/>
    <w:rsid w:val="009C7F9A"/>
    <w:rsid w:val="009D06C8"/>
    <w:rsid w:val="009D090A"/>
    <w:rsid w:val="009D27F7"/>
    <w:rsid w:val="009D29F5"/>
    <w:rsid w:val="009D3AF7"/>
    <w:rsid w:val="009D4062"/>
    <w:rsid w:val="009D4215"/>
    <w:rsid w:val="009D460F"/>
    <w:rsid w:val="009D4A89"/>
    <w:rsid w:val="009D5C22"/>
    <w:rsid w:val="009D64BD"/>
    <w:rsid w:val="009D6F4F"/>
    <w:rsid w:val="009D73C1"/>
    <w:rsid w:val="009E0315"/>
    <w:rsid w:val="009E0C5B"/>
    <w:rsid w:val="009E190A"/>
    <w:rsid w:val="009E1E33"/>
    <w:rsid w:val="009E203F"/>
    <w:rsid w:val="009E25C7"/>
    <w:rsid w:val="009E31C2"/>
    <w:rsid w:val="009E4589"/>
    <w:rsid w:val="009E4E05"/>
    <w:rsid w:val="009E5105"/>
    <w:rsid w:val="009E5545"/>
    <w:rsid w:val="009E5FDA"/>
    <w:rsid w:val="009E6A01"/>
    <w:rsid w:val="009E70EE"/>
    <w:rsid w:val="009E7257"/>
    <w:rsid w:val="009E72F4"/>
    <w:rsid w:val="009E7CE2"/>
    <w:rsid w:val="009F071D"/>
    <w:rsid w:val="009F13F6"/>
    <w:rsid w:val="009F27A2"/>
    <w:rsid w:val="009F31E1"/>
    <w:rsid w:val="009F371D"/>
    <w:rsid w:val="009F3C67"/>
    <w:rsid w:val="009F4C2B"/>
    <w:rsid w:val="009F6111"/>
    <w:rsid w:val="009F6D6B"/>
    <w:rsid w:val="009F702A"/>
    <w:rsid w:val="009F7603"/>
    <w:rsid w:val="009F7704"/>
    <w:rsid w:val="009F7A64"/>
    <w:rsid w:val="00A00D09"/>
    <w:rsid w:val="00A0358F"/>
    <w:rsid w:val="00A03928"/>
    <w:rsid w:val="00A04097"/>
    <w:rsid w:val="00A044EB"/>
    <w:rsid w:val="00A049F0"/>
    <w:rsid w:val="00A04A5A"/>
    <w:rsid w:val="00A04D3C"/>
    <w:rsid w:val="00A04DF8"/>
    <w:rsid w:val="00A04E80"/>
    <w:rsid w:val="00A05B2D"/>
    <w:rsid w:val="00A06D05"/>
    <w:rsid w:val="00A06FF8"/>
    <w:rsid w:val="00A079DF"/>
    <w:rsid w:val="00A07D1F"/>
    <w:rsid w:val="00A10752"/>
    <w:rsid w:val="00A118F2"/>
    <w:rsid w:val="00A1253D"/>
    <w:rsid w:val="00A12AE1"/>
    <w:rsid w:val="00A12D13"/>
    <w:rsid w:val="00A14293"/>
    <w:rsid w:val="00A14552"/>
    <w:rsid w:val="00A14720"/>
    <w:rsid w:val="00A1481D"/>
    <w:rsid w:val="00A15575"/>
    <w:rsid w:val="00A15EC6"/>
    <w:rsid w:val="00A179C7"/>
    <w:rsid w:val="00A17F1F"/>
    <w:rsid w:val="00A2050F"/>
    <w:rsid w:val="00A20A8F"/>
    <w:rsid w:val="00A20AE0"/>
    <w:rsid w:val="00A20FBD"/>
    <w:rsid w:val="00A21669"/>
    <w:rsid w:val="00A2183E"/>
    <w:rsid w:val="00A222C5"/>
    <w:rsid w:val="00A22D0C"/>
    <w:rsid w:val="00A23F5F"/>
    <w:rsid w:val="00A246D8"/>
    <w:rsid w:val="00A24C5B"/>
    <w:rsid w:val="00A265C8"/>
    <w:rsid w:val="00A26BA9"/>
    <w:rsid w:val="00A3065A"/>
    <w:rsid w:val="00A30AA7"/>
    <w:rsid w:val="00A31022"/>
    <w:rsid w:val="00A31210"/>
    <w:rsid w:val="00A31CEC"/>
    <w:rsid w:val="00A31DE9"/>
    <w:rsid w:val="00A32177"/>
    <w:rsid w:val="00A324C9"/>
    <w:rsid w:val="00A32505"/>
    <w:rsid w:val="00A327E0"/>
    <w:rsid w:val="00A32D00"/>
    <w:rsid w:val="00A32D13"/>
    <w:rsid w:val="00A33BA3"/>
    <w:rsid w:val="00A34220"/>
    <w:rsid w:val="00A34DB4"/>
    <w:rsid w:val="00A34DE4"/>
    <w:rsid w:val="00A353DE"/>
    <w:rsid w:val="00A36331"/>
    <w:rsid w:val="00A36476"/>
    <w:rsid w:val="00A36887"/>
    <w:rsid w:val="00A3701D"/>
    <w:rsid w:val="00A37449"/>
    <w:rsid w:val="00A37E58"/>
    <w:rsid w:val="00A40BD7"/>
    <w:rsid w:val="00A412E2"/>
    <w:rsid w:val="00A4168A"/>
    <w:rsid w:val="00A426C1"/>
    <w:rsid w:val="00A438F6"/>
    <w:rsid w:val="00A438FA"/>
    <w:rsid w:val="00A44388"/>
    <w:rsid w:val="00A445B1"/>
    <w:rsid w:val="00A448CD"/>
    <w:rsid w:val="00A44F7C"/>
    <w:rsid w:val="00A456FA"/>
    <w:rsid w:val="00A464F5"/>
    <w:rsid w:val="00A465B6"/>
    <w:rsid w:val="00A46CA9"/>
    <w:rsid w:val="00A50902"/>
    <w:rsid w:val="00A50B15"/>
    <w:rsid w:val="00A53310"/>
    <w:rsid w:val="00A53B26"/>
    <w:rsid w:val="00A544FF"/>
    <w:rsid w:val="00A5453B"/>
    <w:rsid w:val="00A5532A"/>
    <w:rsid w:val="00A556F4"/>
    <w:rsid w:val="00A55F88"/>
    <w:rsid w:val="00A56E6C"/>
    <w:rsid w:val="00A5722D"/>
    <w:rsid w:val="00A57F05"/>
    <w:rsid w:val="00A605D1"/>
    <w:rsid w:val="00A60EF8"/>
    <w:rsid w:val="00A611F0"/>
    <w:rsid w:val="00A61AC6"/>
    <w:rsid w:val="00A62065"/>
    <w:rsid w:val="00A62454"/>
    <w:rsid w:val="00A62E09"/>
    <w:rsid w:val="00A639F0"/>
    <w:rsid w:val="00A63DAE"/>
    <w:rsid w:val="00A6411E"/>
    <w:rsid w:val="00A6414A"/>
    <w:rsid w:val="00A64459"/>
    <w:rsid w:val="00A64F22"/>
    <w:rsid w:val="00A6576E"/>
    <w:rsid w:val="00A65C04"/>
    <w:rsid w:val="00A66801"/>
    <w:rsid w:val="00A66D8E"/>
    <w:rsid w:val="00A66FC0"/>
    <w:rsid w:val="00A71436"/>
    <w:rsid w:val="00A7277E"/>
    <w:rsid w:val="00A72965"/>
    <w:rsid w:val="00A7318A"/>
    <w:rsid w:val="00A733B9"/>
    <w:rsid w:val="00A733CD"/>
    <w:rsid w:val="00A736D5"/>
    <w:rsid w:val="00A7447A"/>
    <w:rsid w:val="00A74A17"/>
    <w:rsid w:val="00A74FE7"/>
    <w:rsid w:val="00A7502F"/>
    <w:rsid w:val="00A75880"/>
    <w:rsid w:val="00A75E01"/>
    <w:rsid w:val="00A77098"/>
    <w:rsid w:val="00A80901"/>
    <w:rsid w:val="00A80CBE"/>
    <w:rsid w:val="00A81BAE"/>
    <w:rsid w:val="00A83098"/>
    <w:rsid w:val="00A834AE"/>
    <w:rsid w:val="00A836B0"/>
    <w:rsid w:val="00A8389B"/>
    <w:rsid w:val="00A84D4F"/>
    <w:rsid w:val="00A85865"/>
    <w:rsid w:val="00A8618A"/>
    <w:rsid w:val="00A875E2"/>
    <w:rsid w:val="00A879A8"/>
    <w:rsid w:val="00A90910"/>
    <w:rsid w:val="00A913F1"/>
    <w:rsid w:val="00A914DE"/>
    <w:rsid w:val="00A93A74"/>
    <w:rsid w:val="00A93D3E"/>
    <w:rsid w:val="00A94DB7"/>
    <w:rsid w:val="00A94F21"/>
    <w:rsid w:val="00A95258"/>
    <w:rsid w:val="00A95B85"/>
    <w:rsid w:val="00A9713A"/>
    <w:rsid w:val="00A9749F"/>
    <w:rsid w:val="00A976DC"/>
    <w:rsid w:val="00A9788A"/>
    <w:rsid w:val="00AA0662"/>
    <w:rsid w:val="00AA132D"/>
    <w:rsid w:val="00AA20C8"/>
    <w:rsid w:val="00AA21A4"/>
    <w:rsid w:val="00AA33D1"/>
    <w:rsid w:val="00AA3FE2"/>
    <w:rsid w:val="00AA4700"/>
    <w:rsid w:val="00AA5296"/>
    <w:rsid w:val="00AA7702"/>
    <w:rsid w:val="00AA77D8"/>
    <w:rsid w:val="00AA78B7"/>
    <w:rsid w:val="00AA7C08"/>
    <w:rsid w:val="00AB0FA2"/>
    <w:rsid w:val="00AB17B3"/>
    <w:rsid w:val="00AB218A"/>
    <w:rsid w:val="00AB253D"/>
    <w:rsid w:val="00AB25AA"/>
    <w:rsid w:val="00AB2E4D"/>
    <w:rsid w:val="00AB3BF0"/>
    <w:rsid w:val="00AB5836"/>
    <w:rsid w:val="00AB73B8"/>
    <w:rsid w:val="00AB75CD"/>
    <w:rsid w:val="00AC0002"/>
    <w:rsid w:val="00AC12F3"/>
    <w:rsid w:val="00AC2349"/>
    <w:rsid w:val="00AC34D5"/>
    <w:rsid w:val="00AC361A"/>
    <w:rsid w:val="00AC484B"/>
    <w:rsid w:val="00AC4990"/>
    <w:rsid w:val="00AC5FA0"/>
    <w:rsid w:val="00AC658F"/>
    <w:rsid w:val="00AC6CEC"/>
    <w:rsid w:val="00AC6EAF"/>
    <w:rsid w:val="00AD09EC"/>
    <w:rsid w:val="00AD10EB"/>
    <w:rsid w:val="00AD17EF"/>
    <w:rsid w:val="00AD200B"/>
    <w:rsid w:val="00AD326D"/>
    <w:rsid w:val="00AD3DFF"/>
    <w:rsid w:val="00AD50AB"/>
    <w:rsid w:val="00AD533C"/>
    <w:rsid w:val="00AD5A37"/>
    <w:rsid w:val="00AD65AE"/>
    <w:rsid w:val="00AD681A"/>
    <w:rsid w:val="00AD706C"/>
    <w:rsid w:val="00AD719F"/>
    <w:rsid w:val="00AD765B"/>
    <w:rsid w:val="00AD7D18"/>
    <w:rsid w:val="00AE02A4"/>
    <w:rsid w:val="00AE174E"/>
    <w:rsid w:val="00AE1AA9"/>
    <w:rsid w:val="00AE2511"/>
    <w:rsid w:val="00AE27A2"/>
    <w:rsid w:val="00AE2822"/>
    <w:rsid w:val="00AE2862"/>
    <w:rsid w:val="00AE36F7"/>
    <w:rsid w:val="00AE3A22"/>
    <w:rsid w:val="00AE4BD7"/>
    <w:rsid w:val="00AE67F8"/>
    <w:rsid w:val="00AE71A3"/>
    <w:rsid w:val="00AF02C1"/>
    <w:rsid w:val="00AF1568"/>
    <w:rsid w:val="00AF2529"/>
    <w:rsid w:val="00AF2D1A"/>
    <w:rsid w:val="00AF2EDF"/>
    <w:rsid w:val="00AF38A6"/>
    <w:rsid w:val="00AF3F37"/>
    <w:rsid w:val="00AF52CF"/>
    <w:rsid w:val="00AF56C7"/>
    <w:rsid w:val="00AF58C3"/>
    <w:rsid w:val="00AF5949"/>
    <w:rsid w:val="00AF5D5B"/>
    <w:rsid w:val="00AF6062"/>
    <w:rsid w:val="00AF7721"/>
    <w:rsid w:val="00B00A8C"/>
    <w:rsid w:val="00B0121F"/>
    <w:rsid w:val="00B013C3"/>
    <w:rsid w:val="00B01E80"/>
    <w:rsid w:val="00B02981"/>
    <w:rsid w:val="00B02BF2"/>
    <w:rsid w:val="00B02E31"/>
    <w:rsid w:val="00B030BA"/>
    <w:rsid w:val="00B032F2"/>
    <w:rsid w:val="00B03699"/>
    <w:rsid w:val="00B03988"/>
    <w:rsid w:val="00B045E0"/>
    <w:rsid w:val="00B06157"/>
    <w:rsid w:val="00B06662"/>
    <w:rsid w:val="00B07F89"/>
    <w:rsid w:val="00B10FD2"/>
    <w:rsid w:val="00B125D9"/>
    <w:rsid w:val="00B1515E"/>
    <w:rsid w:val="00B15C1A"/>
    <w:rsid w:val="00B15FBE"/>
    <w:rsid w:val="00B1664E"/>
    <w:rsid w:val="00B16EA3"/>
    <w:rsid w:val="00B17DAC"/>
    <w:rsid w:val="00B20926"/>
    <w:rsid w:val="00B20ADC"/>
    <w:rsid w:val="00B20D0F"/>
    <w:rsid w:val="00B211C9"/>
    <w:rsid w:val="00B215C8"/>
    <w:rsid w:val="00B2295B"/>
    <w:rsid w:val="00B22CC1"/>
    <w:rsid w:val="00B22FB9"/>
    <w:rsid w:val="00B24541"/>
    <w:rsid w:val="00B2465A"/>
    <w:rsid w:val="00B2497A"/>
    <w:rsid w:val="00B24BE7"/>
    <w:rsid w:val="00B256DB"/>
    <w:rsid w:val="00B259DF"/>
    <w:rsid w:val="00B2676A"/>
    <w:rsid w:val="00B27A98"/>
    <w:rsid w:val="00B30BB4"/>
    <w:rsid w:val="00B30C01"/>
    <w:rsid w:val="00B315D4"/>
    <w:rsid w:val="00B322CA"/>
    <w:rsid w:val="00B3236B"/>
    <w:rsid w:val="00B33384"/>
    <w:rsid w:val="00B3389D"/>
    <w:rsid w:val="00B33976"/>
    <w:rsid w:val="00B354BC"/>
    <w:rsid w:val="00B3618E"/>
    <w:rsid w:val="00B375BC"/>
    <w:rsid w:val="00B40D4E"/>
    <w:rsid w:val="00B4108D"/>
    <w:rsid w:val="00B41575"/>
    <w:rsid w:val="00B41791"/>
    <w:rsid w:val="00B42C38"/>
    <w:rsid w:val="00B42D47"/>
    <w:rsid w:val="00B435FA"/>
    <w:rsid w:val="00B43897"/>
    <w:rsid w:val="00B43DF5"/>
    <w:rsid w:val="00B443CF"/>
    <w:rsid w:val="00B447C3"/>
    <w:rsid w:val="00B4597C"/>
    <w:rsid w:val="00B45FE8"/>
    <w:rsid w:val="00B477F8"/>
    <w:rsid w:val="00B50300"/>
    <w:rsid w:val="00B50B86"/>
    <w:rsid w:val="00B50C7E"/>
    <w:rsid w:val="00B50C94"/>
    <w:rsid w:val="00B52262"/>
    <w:rsid w:val="00B52715"/>
    <w:rsid w:val="00B52F70"/>
    <w:rsid w:val="00B539F6"/>
    <w:rsid w:val="00B5602D"/>
    <w:rsid w:val="00B5617D"/>
    <w:rsid w:val="00B56509"/>
    <w:rsid w:val="00B56A4D"/>
    <w:rsid w:val="00B57460"/>
    <w:rsid w:val="00B60053"/>
    <w:rsid w:val="00B600A0"/>
    <w:rsid w:val="00B602D4"/>
    <w:rsid w:val="00B6060F"/>
    <w:rsid w:val="00B61579"/>
    <w:rsid w:val="00B62AD3"/>
    <w:rsid w:val="00B62C44"/>
    <w:rsid w:val="00B62D89"/>
    <w:rsid w:val="00B62ED2"/>
    <w:rsid w:val="00B63A40"/>
    <w:rsid w:val="00B63B66"/>
    <w:rsid w:val="00B63CD7"/>
    <w:rsid w:val="00B63FE7"/>
    <w:rsid w:val="00B64438"/>
    <w:rsid w:val="00B64A32"/>
    <w:rsid w:val="00B64E4C"/>
    <w:rsid w:val="00B658FB"/>
    <w:rsid w:val="00B6597E"/>
    <w:rsid w:val="00B65A52"/>
    <w:rsid w:val="00B65B9E"/>
    <w:rsid w:val="00B66E6D"/>
    <w:rsid w:val="00B67487"/>
    <w:rsid w:val="00B716CB"/>
    <w:rsid w:val="00B71E10"/>
    <w:rsid w:val="00B72765"/>
    <w:rsid w:val="00B72E5D"/>
    <w:rsid w:val="00B73601"/>
    <w:rsid w:val="00B736DE"/>
    <w:rsid w:val="00B73FD7"/>
    <w:rsid w:val="00B74F7F"/>
    <w:rsid w:val="00B75129"/>
    <w:rsid w:val="00B76D27"/>
    <w:rsid w:val="00B77EDD"/>
    <w:rsid w:val="00B80B4D"/>
    <w:rsid w:val="00B810B5"/>
    <w:rsid w:val="00B83115"/>
    <w:rsid w:val="00B83941"/>
    <w:rsid w:val="00B86826"/>
    <w:rsid w:val="00B87AC0"/>
    <w:rsid w:val="00B91514"/>
    <w:rsid w:val="00B9291E"/>
    <w:rsid w:val="00B937FD"/>
    <w:rsid w:val="00B93FB2"/>
    <w:rsid w:val="00B94E35"/>
    <w:rsid w:val="00B9541F"/>
    <w:rsid w:val="00B95758"/>
    <w:rsid w:val="00B95F4B"/>
    <w:rsid w:val="00B966C9"/>
    <w:rsid w:val="00B97CAE"/>
    <w:rsid w:val="00BA0B78"/>
    <w:rsid w:val="00BA1AD3"/>
    <w:rsid w:val="00BA1E29"/>
    <w:rsid w:val="00BA3414"/>
    <w:rsid w:val="00BA36EA"/>
    <w:rsid w:val="00BA452B"/>
    <w:rsid w:val="00BA4E67"/>
    <w:rsid w:val="00BA67F8"/>
    <w:rsid w:val="00BA6D48"/>
    <w:rsid w:val="00BA76A9"/>
    <w:rsid w:val="00BA78F0"/>
    <w:rsid w:val="00BB0162"/>
    <w:rsid w:val="00BB0EF3"/>
    <w:rsid w:val="00BB1E48"/>
    <w:rsid w:val="00BB2771"/>
    <w:rsid w:val="00BB27FC"/>
    <w:rsid w:val="00BB28AC"/>
    <w:rsid w:val="00BB3A3C"/>
    <w:rsid w:val="00BB4732"/>
    <w:rsid w:val="00BB4845"/>
    <w:rsid w:val="00BB5C84"/>
    <w:rsid w:val="00BB5C91"/>
    <w:rsid w:val="00BB64FD"/>
    <w:rsid w:val="00BB6668"/>
    <w:rsid w:val="00BB6C0F"/>
    <w:rsid w:val="00BC0420"/>
    <w:rsid w:val="00BC0431"/>
    <w:rsid w:val="00BC06D4"/>
    <w:rsid w:val="00BC06E4"/>
    <w:rsid w:val="00BC0704"/>
    <w:rsid w:val="00BC099C"/>
    <w:rsid w:val="00BC0CA5"/>
    <w:rsid w:val="00BC0D9B"/>
    <w:rsid w:val="00BC1301"/>
    <w:rsid w:val="00BC1452"/>
    <w:rsid w:val="00BC17A0"/>
    <w:rsid w:val="00BC19FB"/>
    <w:rsid w:val="00BC29CC"/>
    <w:rsid w:val="00BC3283"/>
    <w:rsid w:val="00BC349C"/>
    <w:rsid w:val="00BC3EA7"/>
    <w:rsid w:val="00BC418D"/>
    <w:rsid w:val="00BC4196"/>
    <w:rsid w:val="00BC4B08"/>
    <w:rsid w:val="00BC5035"/>
    <w:rsid w:val="00BC56CD"/>
    <w:rsid w:val="00BC5C6C"/>
    <w:rsid w:val="00BC66CA"/>
    <w:rsid w:val="00BC6C26"/>
    <w:rsid w:val="00BC712F"/>
    <w:rsid w:val="00BD081E"/>
    <w:rsid w:val="00BD094C"/>
    <w:rsid w:val="00BD11A0"/>
    <w:rsid w:val="00BD203E"/>
    <w:rsid w:val="00BD308A"/>
    <w:rsid w:val="00BD3A34"/>
    <w:rsid w:val="00BD4016"/>
    <w:rsid w:val="00BD4648"/>
    <w:rsid w:val="00BD4B9A"/>
    <w:rsid w:val="00BD5177"/>
    <w:rsid w:val="00BD58FE"/>
    <w:rsid w:val="00BD59AE"/>
    <w:rsid w:val="00BD5B1A"/>
    <w:rsid w:val="00BD62A3"/>
    <w:rsid w:val="00BD658A"/>
    <w:rsid w:val="00BE03E7"/>
    <w:rsid w:val="00BE1984"/>
    <w:rsid w:val="00BE2329"/>
    <w:rsid w:val="00BE2501"/>
    <w:rsid w:val="00BE3A93"/>
    <w:rsid w:val="00BE41FA"/>
    <w:rsid w:val="00BE4D5A"/>
    <w:rsid w:val="00BE551E"/>
    <w:rsid w:val="00BE6D98"/>
    <w:rsid w:val="00BE7C8F"/>
    <w:rsid w:val="00BF0999"/>
    <w:rsid w:val="00BF0D53"/>
    <w:rsid w:val="00BF202A"/>
    <w:rsid w:val="00BF2768"/>
    <w:rsid w:val="00BF2CEB"/>
    <w:rsid w:val="00BF2EB6"/>
    <w:rsid w:val="00BF4CA3"/>
    <w:rsid w:val="00BF5353"/>
    <w:rsid w:val="00BF570D"/>
    <w:rsid w:val="00C0120F"/>
    <w:rsid w:val="00C01655"/>
    <w:rsid w:val="00C01DB8"/>
    <w:rsid w:val="00C01EF2"/>
    <w:rsid w:val="00C021D6"/>
    <w:rsid w:val="00C0224F"/>
    <w:rsid w:val="00C03F57"/>
    <w:rsid w:val="00C04331"/>
    <w:rsid w:val="00C054BE"/>
    <w:rsid w:val="00C057A8"/>
    <w:rsid w:val="00C05E5D"/>
    <w:rsid w:val="00C066C4"/>
    <w:rsid w:val="00C06826"/>
    <w:rsid w:val="00C079A4"/>
    <w:rsid w:val="00C07C75"/>
    <w:rsid w:val="00C10AE5"/>
    <w:rsid w:val="00C111C3"/>
    <w:rsid w:val="00C11293"/>
    <w:rsid w:val="00C120AC"/>
    <w:rsid w:val="00C12874"/>
    <w:rsid w:val="00C12D60"/>
    <w:rsid w:val="00C13C92"/>
    <w:rsid w:val="00C14D55"/>
    <w:rsid w:val="00C1516F"/>
    <w:rsid w:val="00C1597F"/>
    <w:rsid w:val="00C16C39"/>
    <w:rsid w:val="00C20E3F"/>
    <w:rsid w:val="00C22535"/>
    <w:rsid w:val="00C22E76"/>
    <w:rsid w:val="00C2333E"/>
    <w:rsid w:val="00C23AF6"/>
    <w:rsid w:val="00C2468C"/>
    <w:rsid w:val="00C249E6"/>
    <w:rsid w:val="00C25048"/>
    <w:rsid w:val="00C25462"/>
    <w:rsid w:val="00C257D7"/>
    <w:rsid w:val="00C25A3F"/>
    <w:rsid w:val="00C25DE3"/>
    <w:rsid w:val="00C26ED0"/>
    <w:rsid w:val="00C302BF"/>
    <w:rsid w:val="00C30D0B"/>
    <w:rsid w:val="00C30FB4"/>
    <w:rsid w:val="00C31DFC"/>
    <w:rsid w:val="00C327AF"/>
    <w:rsid w:val="00C32933"/>
    <w:rsid w:val="00C3321E"/>
    <w:rsid w:val="00C3340E"/>
    <w:rsid w:val="00C33A11"/>
    <w:rsid w:val="00C33E35"/>
    <w:rsid w:val="00C36264"/>
    <w:rsid w:val="00C368AA"/>
    <w:rsid w:val="00C36951"/>
    <w:rsid w:val="00C37446"/>
    <w:rsid w:val="00C40193"/>
    <w:rsid w:val="00C405F6"/>
    <w:rsid w:val="00C40ADB"/>
    <w:rsid w:val="00C40C3F"/>
    <w:rsid w:val="00C41E26"/>
    <w:rsid w:val="00C424F0"/>
    <w:rsid w:val="00C44B0F"/>
    <w:rsid w:val="00C46D37"/>
    <w:rsid w:val="00C472CD"/>
    <w:rsid w:val="00C47792"/>
    <w:rsid w:val="00C50467"/>
    <w:rsid w:val="00C5064A"/>
    <w:rsid w:val="00C51EE8"/>
    <w:rsid w:val="00C522A5"/>
    <w:rsid w:val="00C53C1F"/>
    <w:rsid w:val="00C5479D"/>
    <w:rsid w:val="00C548DD"/>
    <w:rsid w:val="00C55C68"/>
    <w:rsid w:val="00C55E0A"/>
    <w:rsid w:val="00C5784F"/>
    <w:rsid w:val="00C6108B"/>
    <w:rsid w:val="00C61967"/>
    <w:rsid w:val="00C61CEB"/>
    <w:rsid w:val="00C62372"/>
    <w:rsid w:val="00C625B0"/>
    <w:rsid w:val="00C62687"/>
    <w:rsid w:val="00C631C1"/>
    <w:rsid w:val="00C6409C"/>
    <w:rsid w:val="00C647DE"/>
    <w:rsid w:val="00C649E2"/>
    <w:rsid w:val="00C653DD"/>
    <w:rsid w:val="00C65EDD"/>
    <w:rsid w:val="00C660C9"/>
    <w:rsid w:val="00C66412"/>
    <w:rsid w:val="00C665FC"/>
    <w:rsid w:val="00C66E79"/>
    <w:rsid w:val="00C679F7"/>
    <w:rsid w:val="00C716AB"/>
    <w:rsid w:val="00C72255"/>
    <w:rsid w:val="00C7237E"/>
    <w:rsid w:val="00C727F9"/>
    <w:rsid w:val="00C74082"/>
    <w:rsid w:val="00C743D2"/>
    <w:rsid w:val="00C744C7"/>
    <w:rsid w:val="00C74807"/>
    <w:rsid w:val="00C764DF"/>
    <w:rsid w:val="00C76A47"/>
    <w:rsid w:val="00C77015"/>
    <w:rsid w:val="00C77B3E"/>
    <w:rsid w:val="00C80EA5"/>
    <w:rsid w:val="00C81EAB"/>
    <w:rsid w:val="00C81F8D"/>
    <w:rsid w:val="00C8244D"/>
    <w:rsid w:val="00C828B3"/>
    <w:rsid w:val="00C82B6E"/>
    <w:rsid w:val="00C834ED"/>
    <w:rsid w:val="00C83E84"/>
    <w:rsid w:val="00C83F4B"/>
    <w:rsid w:val="00C84E9B"/>
    <w:rsid w:val="00C85096"/>
    <w:rsid w:val="00C851EB"/>
    <w:rsid w:val="00C85938"/>
    <w:rsid w:val="00C85DFD"/>
    <w:rsid w:val="00C87777"/>
    <w:rsid w:val="00C90445"/>
    <w:rsid w:val="00C9055D"/>
    <w:rsid w:val="00C906E3"/>
    <w:rsid w:val="00C91223"/>
    <w:rsid w:val="00C917D3"/>
    <w:rsid w:val="00C917E9"/>
    <w:rsid w:val="00C91808"/>
    <w:rsid w:val="00C92628"/>
    <w:rsid w:val="00C92F41"/>
    <w:rsid w:val="00C93AFB"/>
    <w:rsid w:val="00C955DF"/>
    <w:rsid w:val="00C95703"/>
    <w:rsid w:val="00C95A7A"/>
    <w:rsid w:val="00C963A0"/>
    <w:rsid w:val="00C96FD1"/>
    <w:rsid w:val="00C97F06"/>
    <w:rsid w:val="00CA03AC"/>
    <w:rsid w:val="00CA057B"/>
    <w:rsid w:val="00CA097E"/>
    <w:rsid w:val="00CA1A2E"/>
    <w:rsid w:val="00CA1AA5"/>
    <w:rsid w:val="00CA1CB4"/>
    <w:rsid w:val="00CA301C"/>
    <w:rsid w:val="00CA348C"/>
    <w:rsid w:val="00CA4C2D"/>
    <w:rsid w:val="00CA4EF6"/>
    <w:rsid w:val="00CA64C2"/>
    <w:rsid w:val="00CA78F3"/>
    <w:rsid w:val="00CB02BC"/>
    <w:rsid w:val="00CB06AA"/>
    <w:rsid w:val="00CB0C33"/>
    <w:rsid w:val="00CB1528"/>
    <w:rsid w:val="00CB1DF1"/>
    <w:rsid w:val="00CB3390"/>
    <w:rsid w:val="00CB3495"/>
    <w:rsid w:val="00CB36E5"/>
    <w:rsid w:val="00CB36EB"/>
    <w:rsid w:val="00CB40A5"/>
    <w:rsid w:val="00CB45A0"/>
    <w:rsid w:val="00CB4930"/>
    <w:rsid w:val="00CB67A7"/>
    <w:rsid w:val="00CB6979"/>
    <w:rsid w:val="00CB6FDB"/>
    <w:rsid w:val="00CB7389"/>
    <w:rsid w:val="00CB7B2E"/>
    <w:rsid w:val="00CB7F35"/>
    <w:rsid w:val="00CC0746"/>
    <w:rsid w:val="00CC0F64"/>
    <w:rsid w:val="00CC1592"/>
    <w:rsid w:val="00CC1DCC"/>
    <w:rsid w:val="00CC2BDA"/>
    <w:rsid w:val="00CC401C"/>
    <w:rsid w:val="00CC5638"/>
    <w:rsid w:val="00CC6717"/>
    <w:rsid w:val="00CD0012"/>
    <w:rsid w:val="00CD0B58"/>
    <w:rsid w:val="00CD1EFF"/>
    <w:rsid w:val="00CD2032"/>
    <w:rsid w:val="00CD24A9"/>
    <w:rsid w:val="00CD3944"/>
    <w:rsid w:val="00CD518A"/>
    <w:rsid w:val="00CD5E97"/>
    <w:rsid w:val="00CD6582"/>
    <w:rsid w:val="00CD6D89"/>
    <w:rsid w:val="00CD6E14"/>
    <w:rsid w:val="00CD711B"/>
    <w:rsid w:val="00CD724B"/>
    <w:rsid w:val="00CD75F8"/>
    <w:rsid w:val="00CD78B8"/>
    <w:rsid w:val="00CD7A0A"/>
    <w:rsid w:val="00CD7ACD"/>
    <w:rsid w:val="00CE021D"/>
    <w:rsid w:val="00CE02BE"/>
    <w:rsid w:val="00CE0E72"/>
    <w:rsid w:val="00CE0EE0"/>
    <w:rsid w:val="00CE166F"/>
    <w:rsid w:val="00CE168C"/>
    <w:rsid w:val="00CE23C4"/>
    <w:rsid w:val="00CE346C"/>
    <w:rsid w:val="00CE3C06"/>
    <w:rsid w:val="00CE4597"/>
    <w:rsid w:val="00CE46EF"/>
    <w:rsid w:val="00CE48B0"/>
    <w:rsid w:val="00CE4EB3"/>
    <w:rsid w:val="00CE4FC7"/>
    <w:rsid w:val="00CE55F1"/>
    <w:rsid w:val="00CE6BD9"/>
    <w:rsid w:val="00CE72E3"/>
    <w:rsid w:val="00CE73EE"/>
    <w:rsid w:val="00CE7660"/>
    <w:rsid w:val="00CE7AC0"/>
    <w:rsid w:val="00CF0022"/>
    <w:rsid w:val="00CF0056"/>
    <w:rsid w:val="00CF07DB"/>
    <w:rsid w:val="00CF1B44"/>
    <w:rsid w:val="00CF26E9"/>
    <w:rsid w:val="00CF27D2"/>
    <w:rsid w:val="00CF2FE4"/>
    <w:rsid w:val="00CF36CA"/>
    <w:rsid w:val="00CF5D1A"/>
    <w:rsid w:val="00CF5E80"/>
    <w:rsid w:val="00CF612C"/>
    <w:rsid w:val="00CF694B"/>
    <w:rsid w:val="00CF7884"/>
    <w:rsid w:val="00D00EBB"/>
    <w:rsid w:val="00D013B0"/>
    <w:rsid w:val="00D01BE2"/>
    <w:rsid w:val="00D01D94"/>
    <w:rsid w:val="00D020BF"/>
    <w:rsid w:val="00D02859"/>
    <w:rsid w:val="00D033C5"/>
    <w:rsid w:val="00D04543"/>
    <w:rsid w:val="00D04FE5"/>
    <w:rsid w:val="00D054D5"/>
    <w:rsid w:val="00D056E0"/>
    <w:rsid w:val="00D06620"/>
    <w:rsid w:val="00D06AAA"/>
    <w:rsid w:val="00D0717C"/>
    <w:rsid w:val="00D0745E"/>
    <w:rsid w:val="00D1010C"/>
    <w:rsid w:val="00D1171A"/>
    <w:rsid w:val="00D1286F"/>
    <w:rsid w:val="00D12A5C"/>
    <w:rsid w:val="00D12E81"/>
    <w:rsid w:val="00D139E6"/>
    <w:rsid w:val="00D14875"/>
    <w:rsid w:val="00D1519D"/>
    <w:rsid w:val="00D15A90"/>
    <w:rsid w:val="00D15F91"/>
    <w:rsid w:val="00D16486"/>
    <w:rsid w:val="00D1713A"/>
    <w:rsid w:val="00D171EE"/>
    <w:rsid w:val="00D1765A"/>
    <w:rsid w:val="00D20201"/>
    <w:rsid w:val="00D20889"/>
    <w:rsid w:val="00D2183F"/>
    <w:rsid w:val="00D21B0B"/>
    <w:rsid w:val="00D21D3A"/>
    <w:rsid w:val="00D22206"/>
    <w:rsid w:val="00D22541"/>
    <w:rsid w:val="00D22577"/>
    <w:rsid w:val="00D22CE3"/>
    <w:rsid w:val="00D22E3E"/>
    <w:rsid w:val="00D24346"/>
    <w:rsid w:val="00D24D12"/>
    <w:rsid w:val="00D2607B"/>
    <w:rsid w:val="00D26131"/>
    <w:rsid w:val="00D26642"/>
    <w:rsid w:val="00D26C2E"/>
    <w:rsid w:val="00D26F3A"/>
    <w:rsid w:val="00D27EA6"/>
    <w:rsid w:val="00D30169"/>
    <w:rsid w:val="00D31093"/>
    <w:rsid w:val="00D31896"/>
    <w:rsid w:val="00D3228C"/>
    <w:rsid w:val="00D33032"/>
    <w:rsid w:val="00D3339F"/>
    <w:rsid w:val="00D336E4"/>
    <w:rsid w:val="00D3483B"/>
    <w:rsid w:val="00D3488E"/>
    <w:rsid w:val="00D34AC2"/>
    <w:rsid w:val="00D35447"/>
    <w:rsid w:val="00D36194"/>
    <w:rsid w:val="00D36788"/>
    <w:rsid w:val="00D36E17"/>
    <w:rsid w:val="00D3752F"/>
    <w:rsid w:val="00D43674"/>
    <w:rsid w:val="00D4392B"/>
    <w:rsid w:val="00D4401C"/>
    <w:rsid w:val="00D44383"/>
    <w:rsid w:val="00D44942"/>
    <w:rsid w:val="00D44AA2"/>
    <w:rsid w:val="00D4580F"/>
    <w:rsid w:val="00D46D54"/>
    <w:rsid w:val="00D4765C"/>
    <w:rsid w:val="00D47780"/>
    <w:rsid w:val="00D47F3A"/>
    <w:rsid w:val="00D50013"/>
    <w:rsid w:val="00D500BD"/>
    <w:rsid w:val="00D50A66"/>
    <w:rsid w:val="00D51478"/>
    <w:rsid w:val="00D515DB"/>
    <w:rsid w:val="00D51BCC"/>
    <w:rsid w:val="00D51E05"/>
    <w:rsid w:val="00D53B80"/>
    <w:rsid w:val="00D53EA4"/>
    <w:rsid w:val="00D56827"/>
    <w:rsid w:val="00D57646"/>
    <w:rsid w:val="00D57C61"/>
    <w:rsid w:val="00D57D81"/>
    <w:rsid w:val="00D60E57"/>
    <w:rsid w:val="00D6121B"/>
    <w:rsid w:val="00D61B49"/>
    <w:rsid w:val="00D61CAC"/>
    <w:rsid w:val="00D6209D"/>
    <w:rsid w:val="00D62354"/>
    <w:rsid w:val="00D626D7"/>
    <w:rsid w:val="00D63335"/>
    <w:rsid w:val="00D63EED"/>
    <w:rsid w:val="00D646B7"/>
    <w:rsid w:val="00D64B94"/>
    <w:rsid w:val="00D6553F"/>
    <w:rsid w:val="00D6624C"/>
    <w:rsid w:val="00D66E03"/>
    <w:rsid w:val="00D70446"/>
    <w:rsid w:val="00D7136F"/>
    <w:rsid w:val="00D71745"/>
    <w:rsid w:val="00D7240B"/>
    <w:rsid w:val="00D740E3"/>
    <w:rsid w:val="00D74147"/>
    <w:rsid w:val="00D744ED"/>
    <w:rsid w:val="00D75397"/>
    <w:rsid w:val="00D7694F"/>
    <w:rsid w:val="00D76B07"/>
    <w:rsid w:val="00D76D10"/>
    <w:rsid w:val="00D77D01"/>
    <w:rsid w:val="00D81253"/>
    <w:rsid w:val="00D81B1B"/>
    <w:rsid w:val="00D81EAA"/>
    <w:rsid w:val="00D8204A"/>
    <w:rsid w:val="00D82073"/>
    <w:rsid w:val="00D825B0"/>
    <w:rsid w:val="00D82BB3"/>
    <w:rsid w:val="00D836F3"/>
    <w:rsid w:val="00D83E95"/>
    <w:rsid w:val="00D84FA4"/>
    <w:rsid w:val="00D8513F"/>
    <w:rsid w:val="00D85230"/>
    <w:rsid w:val="00D85356"/>
    <w:rsid w:val="00D85915"/>
    <w:rsid w:val="00D86452"/>
    <w:rsid w:val="00D8682E"/>
    <w:rsid w:val="00D90FFD"/>
    <w:rsid w:val="00D918E6"/>
    <w:rsid w:val="00D92C5B"/>
    <w:rsid w:val="00D92DC2"/>
    <w:rsid w:val="00D92F83"/>
    <w:rsid w:val="00D933AF"/>
    <w:rsid w:val="00D93808"/>
    <w:rsid w:val="00D946E3"/>
    <w:rsid w:val="00D9503C"/>
    <w:rsid w:val="00D97983"/>
    <w:rsid w:val="00D97FF0"/>
    <w:rsid w:val="00DA0031"/>
    <w:rsid w:val="00DA0624"/>
    <w:rsid w:val="00DA068A"/>
    <w:rsid w:val="00DA08DB"/>
    <w:rsid w:val="00DA1015"/>
    <w:rsid w:val="00DA1854"/>
    <w:rsid w:val="00DA1FF1"/>
    <w:rsid w:val="00DA2B05"/>
    <w:rsid w:val="00DA3337"/>
    <w:rsid w:val="00DA3907"/>
    <w:rsid w:val="00DA45CB"/>
    <w:rsid w:val="00DA5A64"/>
    <w:rsid w:val="00DA5B3E"/>
    <w:rsid w:val="00DA5DA5"/>
    <w:rsid w:val="00DA5EBC"/>
    <w:rsid w:val="00DA7339"/>
    <w:rsid w:val="00DA78C1"/>
    <w:rsid w:val="00DA78CC"/>
    <w:rsid w:val="00DA7D5F"/>
    <w:rsid w:val="00DA7FC2"/>
    <w:rsid w:val="00DB13CA"/>
    <w:rsid w:val="00DB1B3F"/>
    <w:rsid w:val="00DB1C76"/>
    <w:rsid w:val="00DB256F"/>
    <w:rsid w:val="00DB2919"/>
    <w:rsid w:val="00DB3773"/>
    <w:rsid w:val="00DB3D70"/>
    <w:rsid w:val="00DB4EDE"/>
    <w:rsid w:val="00DB6130"/>
    <w:rsid w:val="00DB627C"/>
    <w:rsid w:val="00DB6FE8"/>
    <w:rsid w:val="00DB78C9"/>
    <w:rsid w:val="00DC0760"/>
    <w:rsid w:val="00DC0CD3"/>
    <w:rsid w:val="00DC22A2"/>
    <w:rsid w:val="00DC28D2"/>
    <w:rsid w:val="00DC2E31"/>
    <w:rsid w:val="00DC2F1A"/>
    <w:rsid w:val="00DC3A05"/>
    <w:rsid w:val="00DC3A26"/>
    <w:rsid w:val="00DC3B86"/>
    <w:rsid w:val="00DC4036"/>
    <w:rsid w:val="00DC44BA"/>
    <w:rsid w:val="00DC5A3E"/>
    <w:rsid w:val="00DC5D4E"/>
    <w:rsid w:val="00DC6E0E"/>
    <w:rsid w:val="00DC75CB"/>
    <w:rsid w:val="00DD0B24"/>
    <w:rsid w:val="00DD134C"/>
    <w:rsid w:val="00DD19A0"/>
    <w:rsid w:val="00DD23BF"/>
    <w:rsid w:val="00DD28A2"/>
    <w:rsid w:val="00DD391E"/>
    <w:rsid w:val="00DD42B1"/>
    <w:rsid w:val="00DD4875"/>
    <w:rsid w:val="00DD4AF0"/>
    <w:rsid w:val="00DD4B08"/>
    <w:rsid w:val="00DD50AD"/>
    <w:rsid w:val="00DD57CB"/>
    <w:rsid w:val="00DD5BAB"/>
    <w:rsid w:val="00DE11CB"/>
    <w:rsid w:val="00DE241F"/>
    <w:rsid w:val="00DE31AE"/>
    <w:rsid w:val="00DE36B9"/>
    <w:rsid w:val="00DE3B58"/>
    <w:rsid w:val="00DE3CD8"/>
    <w:rsid w:val="00DE4140"/>
    <w:rsid w:val="00DE5227"/>
    <w:rsid w:val="00DE56B4"/>
    <w:rsid w:val="00DE7228"/>
    <w:rsid w:val="00DF0D7A"/>
    <w:rsid w:val="00DF1372"/>
    <w:rsid w:val="00DF36EE"/>
    <w:rsid w:val="00DF37AC"/>
    <w:rsid w:val="00DF395C"/>
    <w:rsid w:val="00DF4439"/>
    <w:rsid w:val="00DF5421"/>
    <w:rsid w:val="00DF5E11"/>
    <w:rsid w:val="00DF63B6"/>
    <w:rsid w:val="00DF67B7"/>
    <w:rsid w:val="00DF6960"/>
    <w:rsid w:val="00DF6BF4"/>
    <w:rsid w:val="00DF7972"/>
    <w:rsid w:val="00DF7E82"/>
    <w:rsid w:val="00E004F3"/>
    <w:rsid w:val="00E01910"/>
    <w:rsid w:val="00E01E03"/>
    <w:rsid w:val="00E022A5"/>
    <w:rsid w:val="00E022F5"/>
    <w:rsid w:val="00E02AC2"/>
    <w:rsid w:val="00E033B6"/>
    <w:rsid w:val="00E03882"/>
    <w:rsid w:val="00E03A87"/>
    <w:rsid w:val="00E03E61"/>
    <w:rsid w:val="00E05F63"/>
    <w:rsid w:val="00E0613E"/>
    <w:rsid w:val="00E061E0"/>
    <w:rsid w:val="00E062FF"/>
    <w:rsid w:val="00E0701D"/>
    <w:rsid w:val="00E07A1B"/>
    <w:rsid w:val="00E11EFA"/>
    <w:rsid w:val="00E11FAD"/>
    <w:rsid w:val="00E12AA4"/>
    <w:rsid w:val="00E13C5B"/>
    <w:rsid w:val="00E13D59"/>
    <w:rsid w:val="00E1493B"/>
    <w:rsid w:val="00E14F9B"/>
    <w:rsid w:val="00E1533A"/>
    <w:rsid w:val="00E161E8"/>
    <w:rsid w:val="00E1645A"/>
    <w:rsid w:val="00E16D5E"/>
    <w:rsid w:val="00E17502"/>
    <w:rsid w:val="00E202B6"/>
    <w:rsid w:val="00E20BEC"/>
    <w:rsid w:val="00E20FBE"/>
    <w:rsid w:val="00E21162"/>
    <w:rsid w:val="00E23208"/>
    <w:rsid w:val="00E2340A"/>
    <w:rsid w:val="00E23533"/>
    <w:rsid w:val="00E23640"/>
    <w:rsid w:val="00E2470F"/>
    <w:rsid w:val="00E24DA8"/>
    <w:rsid w:val="00E25E9C"/>
    <w:rsid w:val="00E263E7"/>
    <w:rsid w:val="00E26420"/>
    <w:rsid w:val="00E2677A"/>
    <w:rsid w:val="00E2691A"/>
    <w:rsid w:val="00E26A73"/>
    <w:rsid w:val="00E27583"/>
    <w:rsid w:val="00E27B76"/>
    <w:rsid w:val="00E27C72"/>
    <w:rsid w:val="00E310CF"/>
    <w:rsid w:val="00E314C2"/>
    <w:rsid w:val="00E31D5E"/>
    <w:rsid w:val="00E31E95"/>
    <w:rsid w:val="00E333F3"/>
    <w:rsid w:val="00E342AA"/>
    <w:rsid w:val="00E3456C"/>
    <w:rsid w:val="00E36591"/>
    <w:rsid w:val="00E3661C"/>
    <w:rsid w:val="00E36C4C"/>
    <w:rsid w:val="00E37773"/>
    <w:rsid w:val="00E41370"/>
    <w:rsid w:val="00E41625"/>
    <w:rsid w:val="00E41999"/>
    <w:rsid w:val="00E420FA"/>
    <w:rsid w:val="00E4250F"/>
    <w:rsid w:val="00E430CE"/>
    <w:rsid w:val="00E43533"/>
    <w:rsid w:val="00E43DDE"/>
    <w:rsid w:val="00E4405E"/>
    <w:rsid w:val="00E449D2"/>
    <w:rsid w:val="00E44D25"/>
    <w:rsid w:val="00E44DC9"/>
    <w:rsid w:val="00E45445"/>
    <w:rsid w:val="00E46239"/>
    <w:rsid w:val="00E46E50"/>
    <w:rsid w:val="00E46F7B"/>
    <w:rsid w:val="00E5031F"/>
    <w:rsid w:val="00E50DE6"/>
    <w:rsid w:val="00E50DEF"/>
    <w:rsid w:val="00E526DC"/>
    <w:rsid w:val="00E52A96"/>
    <w:rsid w:val="00E54136"/>
    <w:rsid w:val="00E54D55"/>
    <w:rsid w:val="00E554DE"/>
    <w:rsid w:val="00E55A01"/>
    <w:rsid w:val="00E55A31"/>
    <w:rsid w:val="00E55D37"/>
    <w:rsid w:val="00E55E83"/>
    <w:rsid w:val="00E5650A"/>
    <w:rsid w:val="00E56EEC"/>
    <w:rsid w:val="00E575CB"/>
    <w:rsid w:val="00E5761E"/>
    <w:rsid w:val="00E60D9F"/>
    <w:rsid w:val="00E610A3"/>
    <w:rsid w:val="00E61E85"/>
    <w:rsid w:val="00E62774"/>
    <w:rsid w:val="00E630D4"/>
    <w:rsid w:val="00E63E8F"/>
    <w:rsid w:val="00E64803"/>
    <w:rsid w:val="00E64F65"/>
    <w:rsid w:val="00E65BA2"/>
    <w:rsid w:val="00E65BE9"/>
    <w:rsid w:val="00E65EAD"/>
    <w:rsid w:val="00E666A0"/>
    <w:rsid w:val="00E66E40"/>
    <w:rsid w:val="00E673A8"/>
    <w:rsid w:val="00E6771D"/>
    <w:rsid w:val="00E71D14"/>
    <w:rsid w:val="00E71DCD"/>
    <w:rsid w:val="00E71F73"/>
    <w:rsid w:val="00E724E6"/>
    <w:rsid w:val="00E72F5A"/>
    <w:rsid w:val="00E7321A"/>
    <w:rsid w:val="00E737E6"/>
    <w:rsid w:val="00E73CFF"/>
    <w:rsid w:val="00E74019"/>
    <w:rsid w:val="00E74530"/>
    <w:rsid w:val="00E745DE"/>
    <w:rsid w:val="00E74889"/>
    <w:rsid w:val="00E7601B"/>
    <w:rsid w:val="00E76215"/>
    <w:rsid w:val="00E763F9"/>
    <w:rsid w:val="00E76B77"/>
    <w:rsid w:val="00E76BD1"/>
    <w:rsid w:val="00E77B05"/>
    <w:rsid w:val="00E80232"/>
    <w:rsid w:val="00E80660"/>
    <w:rsid w:val="00E8074C"/>
    <w:rsid w:val="00E80DCB"/>
    <w:rsid w:val="00E82A2F"/>
    <w:rsid w:val="00E835C9"/>
    <w:rsid w:val="00E835CD"/>
    <w:rsid w:val="00E83CC5"/>
    <w:rsid w:val="00E848B3"/>
    <w:rsid w:val="00E86247"/>
    <w:rsid w:val="00E8749D"/>
    <w:rsid w:val="00E90163"/>
    <w:rsid w:val="00E9201A"/>
    <w:rsid w:val="00E924DF"/>
    <w:rsid w:val="00E93473"/>
    <w:rsid w:val="00E93BDC"/>
    <w:rsid w:val="00E94145"/>
    <w:rsid w:val="00E9422F"/>
    <w:rsid w:val="00E947E0"/>
    <w:rsid w:val="00E94D18"/>
    <w:rsid w:val="00E951EF"/>
    <w:rsid w:val="00E954D7"/>
    <w:rsid w:val="00E955BD"/>
    <w:rsid w:val="00E95CE2"/>
    <w:rsid w:val="00E97180"/>
    <w:rsid w:val="00E97AD0"/>
    <w:rsid w:val="00EA0218"/>
    <w:rsid w:val="00EA1108"/>
    <w:rsid w:val="00EA1C2B"/>
    <w:rsid w:val="00EA1FCC"/>
    <w:rsid w:val="00EA21C4"/>
    <w:rsid w:val="00EA28AD"/>
    <w:rsid w:val="00EA2E67"/>
    <w:rsid w:val="00EA305F"/>
    <w:rsid w:val="00EA37A6"/>
    <w:rsid w:val="00EA45AB"/>
    <w:rsid w:val="00EA46E7"/>
    <w:rsid w:val="00EA4A8A"/>
    <w:rsid w:val="00EA57CD"/>
    <w:rsid w:val="00EB09FD"/>
    <w:rsid w:val="00EB13E1"/>
    <w:rsid w:val="00EB1537"/>
    <w:rsid w:val="00EB1D3F"/>
    <w:rsid w:val="00EB27C7"/>
    <w:rsid w:val="00EB2DC0"/>
    <w:rsid w:val="00EB3E08"/>
    <w:rsid w:val="00EB48D4"/>
    <w:rsid w:val="00EB4FDE"/>
    <w:rsid w:val="00EB5766"/>
    <w:rsid w:val="00EB5DC6"/>
    <w:rsid w:val="00EC0585"/>
    <w:rsid w:val="00EC14E7"/>
    <w:rsid w:val="00EC1706"/>
    <w:rsid w:val="00EC1ABE"/>
    <w:rsid w:val="00EC1B15"/>
    <w:rsid w:val="00EC2242"/>
    <w:rsid w:val="00EC273C"/>
    <w:rsid w:val="00EC277F"/>
    <w:rsid w:val="00EC27DB"/>
    <w:rsid w:val="00EC2A95"/>
    <w:rsid w:val="00EC422A"/>
    <w:rsid w:val="00EC422B"/>
    <w:rsid w:val="00EC53FB"/>
    <w:rsid w:val="00EC5CA6"/>
    <w:rsid w:val="00EC6228"/>
    <w:rsid w:val="00EC6ADC"/>
    <w:rsid w:val="00EC6F32"/>
    <w:rsid w:val="00EC7254"/>
    <w:rsid w:val="00EC7B3F"/>
    <w:rsid w:val="00EC7E0B"/>
    <w:rsid w:val="00ED028C"/>
    <w:rsid w:val="00ED0B9F"/>
    <w:rsid w:val="00ED16E2"/>
    <w:rsid w:val="00ED2033"/>
    <w:rsid w:val="00ED249B"/>
    <w:rsid w:val="00ED2835"/>
    <w:rsid w:val="00ED2EE9"/>
    <w:rsid w:val="00ED394B"/>
    <w:rsid w:val="00ED394D"/>
    <w:rsid w:val="00ED4AB8"/>
    <w:rsid w:val="00ED51EA"/>
    <w:rsid w:val="00ED5B27"/>
    <w:rsid w:val="00ED5D66"/>
    <w:rsid w:val="00ED5EAA"/>
    <w:rsid w:val="00ED62DD"/>
    <w:rsid w:val="00ED6478"/>
    <w:rsid w:val="00ED6558"/>
    <w:rsid w:val="00ED788F"/>
    <w:rsid w:val="00ED7900"/>
    <w:rsid w:val="00EE01CC"/>
    <w:rsid w:val="00EE02A4"/>
    <w:rsid w:val="00EE16B5"/>
    <w:rsid w:val="00EE17EC"/>
    <w:rsid w:val="00EE2339"/>
    <w:rsid w:val="00EE2467"/>
    <w:rsid w:val="00EE35E1"/>
    <w:rsid w:val="00EE3CE5"/>
    <w:rsid w:val="00EE4FFC"/>
    <w:rsid w:val="00EE6823"/>
    <w:rsid w:val="00EE6D87"/>
    <w:rsid w:val="00EE78B5"/>
    <w:rsid w:val="00EE7FD4"/>
    <w:rsid w:val="00EF0549"/>
    <w:rsid w:val="00EF069A"/>
    <w:rsid w:val="00EF0721"/>
    <w:rsid w:val="00EF072C"/>
    <w:rsid w:val="00EF13DA"/>
    <w:rsid w:val="00EF141D"/>
    <w:rsid w:val="00EF1B38"/>
    <w:rsid w:val="00EF23E4"/>
    <w:rsid w:val="00EF25BA"/>
    <w:rsid w:val="00EF29F0"/>
    <w:rsid w:val="00EF2D77"/>
    <w:rsid w:val="00EF3348"/>
    <w:rsid w:val="00EF35EF"/>
    <w:rsid w:val="00EF45DE"/>
    <w:rsid w:val="00EF4CE6"/>
    <w:rsid w:val="00EF501C"/>
    <w:rsid w:val="00EF5A17"/>
    <w:rsid w:val="00EF5E11"/>
    <w:rsid w:val="00EF66B2"/>
    <w:rsid w:val="00EF6ADA"/>
    <w:rsid w:val="00EF6AF5"/>
    <w:rsid w:val="00EF728C"/>
    <w:rsid w:val="00F000E2"/>
    <w:rsid w:val="00F01C33"/>
    <w:rsid w:val="00F01C67"/>
    <w:rsid w:val="00F0242D"/>
    <w:rsid w:val="00F02C07"/>
    <w:rsid w:val="00F02C3A"/>
    <w:rsid w:val="00F02F6D"/>
    <w:rsid w:val="00F040E3"/>
    <w:rsid w:val="00F04CF0"/>
    <w:rsid w:val="00F050E6"/>
    <w:rsid w:val="00F054C5"/>
    <w:rsid w:val="00F0571C"/>
    <w:rsid w:val="00F05C65"/>
    <w:rsid w:val="00F06D73"/>
    <w:rsid w:val="00F07397"/>
    <w:rsid w:val="00F073E1"/>
    <w:rsid w:val="00F07920"/>
    <w:rsid w:val="00F10B6B"/>
    <w:rsid w:val="00F11D51"/>
    <w:rsid w:val="00F120D2"/>
    <w:rsid w:val="00F12792"/>
    <w:rsid w:val="00F12C1C"/>
    <w:rsid w:val="00F1350F"/>
    <w:rsid w:val="00F13B77"/>
    <w:rsid w:val="00F14616"/>
    <w:rsid w:val="00F14E24"/>
    <w:rsid w:val="00F1655E"/>
    <w:rsid w:val="00F17110"/>
    <w:rsid w:val="00F174E1"/>
    <w:rsid w:val="00F1763A"/>
    <w:rsid w:val="00F17C13"/>
    <w:rsid w:val="00F20C01"/>
    <w:rsid w:val="00F2169E"/>
    <w:rsid w:val="00F23AEC"/>
    <w:rsid w:val="00F242F2"/>
    <w:rsid w:val="00F24423"/>
    <w:rsid w:val="00F24FA2"/>
    <w:rsid w:val="00F2537F"/>
    <w:rsid w:val="00F253DA"/>
    <w:rsid w:val="00F26A0F"/>
    <w:rsid w:val="00F274E4"/>
    <w:rsid w:val="00F27766"/>
    <w:rsid w:val="00F3019B"/>
    <w:rsid w:val="00F30F75"/>
    <w:rsid w:val="00F317B4"/>
    <w:rsid w:val="00F3188E"/>
    <w:rsid w:val="00F34818"/>
    <w:rsid w:val="00F350FC"/>
    <w:rsid w:val="00F35C19"/>
    <w:rsid w:val="00F3657C"/>
    <w:rsid w:val="00F3690C"/>
    <w:rsid w:val="00F36C18"/>
    <w:rsid w:val="00F3725E"/>
    <w:rsid w:val="00F37645"/>
    <w:rsid w:val="00F40A7F"/>
    <w:rsid w:val="00F40EE7"/>
    <w:rsid w:val="00F412EA"/>
    <w:rsid w:val="00F41C28"/>
    <w:rsid w:val="00F41E9C"/>
    <w:rsid w:val="00F437D5"/>
    <w:rsid w:val="00F439C1"/>
    <w:rsid w:val="00F44378"/>
    <w:rsid w:val="00F44C37"/>
    <w:rsid w:val="00F45849"/>
    <w:rsid w:val="00F46122"/>
    <w:rsid w:val="00F47D25"/>
    <w:rsid w:val="00F50239"/>
    <w:rsid w:val="00F50735"/>
    <w:rsid w:val="00F511F2"/>
    <w:rsid w:val="00F51E77"/>
    <w:rsid w:val="00F5268B"/>
    <w:rsid w:val="00F52BEC"/>
    <w:rsid w:val="00F52CED"/>
    <w:rsid w:val="00F532B6"/>
    <w:rsid w:val="00F533B8"/>
    <w:rsid w:val="00F54212"/>
    <w:rsid w:val="00F5438C"/>
    <w:rsid w:val="00F54E82"/>
    <w:rsid w:val="00F56387"/>
    <w:rsid w:val="00F57BEC"/>
    <w:rsid w:val="00F60438"/>
    <w:rsid w:val="00F6077F"/>
    <w:rsid w:val="00F6094E"/>
    <w:rsid w:val="00F61245"/>
    <w:rsid w:val="00F617E1"/>
    <w:rsid w:val="00F618B8"/>
    <w:rsid w:val="00F61BF6"/>
    <w:rsid w:val="00F61F7D"/>
    <w:rsid w:val="00F620D0"/>
    <w:rsid w:val="00F62463"/>
    <w:rsid w:val="00F636DA"/>
    <w:rsid w:val="00F637AC"/>
    <w:rsid w:val="00F63DD8"/>
    <w:rsid w:val="00F6480C"/>
    <w:rsid w:val="00F655CA"/>
    <w:rsid w:val="00F6768F"/>
    <w:rsid w:val="00F678AF"/>
    <w:rsid w:val="00F7070D"/>
    <w:rsid w:val="00F70F21"/>
    <w:rsid w:val="00F71066"/>
    <w:rsid w:val="00F715F1"/>
    <w:rsid w:val="00F71756"/>
    <w:rsid w:val="00F71D93"/>
    <w:rsid w:val="00F71FEB"/>
    <w:rsid w:val="00F72B05"/>
    <w:rsid w:val="00F731AC"/>
    <w:rsid w:val="00F73462"/>
    <w:rsid w:val="00F73EBD"/>
    <w:rsid w:val="00F740BE"/>
    <w:rsid w:val="00F740CE"/>
    <w:rsid w:val="00F742A3"/>
    <w:rsid w:val="00F74337"/>
    <w:rsid w:val="00F7451F"/>
    <w:rsid w:val="00F74631"/>
    <w:rsid w:val="00F75036"/>
    <w:rsid w:val="00F75073"/>
    <w:rsid w:val="00F7533C"/>
    <w:rsid w:val="00F75DA1"/>
    <w:rsid w:val="00F76998"/>
    <w:rsid w:val="00F7719A"/>
    <w:rsid w:val="00F7729F"/>
    <w:rsid w:val="00F77983"/>
    <w:rsid w:val="00F77FBA"/>
    <w:rsid w:val="00F814A4"/>
    <w:rsid w:val="00F81609"/>
    <w:rsid w:val="00F818EC"/>
    <w:rsid w:val="00F81976"/>
    <w:rsid w:val="00F82529"/>
    <w:rsid w:val="00F84135"/>
    <w:rsid w:val="00F847E4"/>
    <w:rsid w:val="00F84E98"/>
    <w:rsid w:val="00F85ACF"/>
    <w:rsid w:val="00F85B4E"/>
    <w:rsid w:val="00F90182"/>
    <w:rsid w:val="00F91221"/>
    <w:rsid w:val="00F913F0"/>
    <w:rsid w:val="00F928B3"/>
    <w:rsid w:val="00F92E6F"/>
    <w:rsid w:val="00F93C27"/>
    <w:rsid w:val="00F9428B"/>
    <w:rsid w:val="00F94A19"/>
    <w:rsid w:val="00F95F78"/>
    <w:rsid w:val="00F96A62"/>
    <w:rsid w:val="00F9781F"/>
    <w:rsid w:val="00FA03CA"/>
    <w:rsid w:val="00FA03DF"/>
    <w:rsid w:val="00FA2709"/>
    <w:rsid w:val="00FA3058"/>
    <w:rsid w:val="00FA32A7"/>
    <w:rsid w:val="00FA34A3"/>
    <w:rsid w:val="00FA38AD"/>
    <w:rsid w:val="00FA3B20"/>
    <w:rsid w:val="00FA3FB2"/>
    <w:rsid w:val="00FA4FF8"/>
    <w:rsid w:val="00FA57BC"/>
    <w:rsid w:val="00FA582A"/>
    <w:rsid w:val="00FA631C"/>
    <w:rsid w:val="00FA6AC7"/>
    <w:rsid w:val="00FA7841"/>
    <w:rsid w:val="00FA7D5D"/>
    <w:rsid w:val="00FA7E08"/>
    <w:rsid w:val="00FB1113"/>
    <w:rsid w:val="00FB17B9"/>
    <w:rsid w:val="00FB181D"/>
    <w:rsid w:val="00FB2172"/>
    <w:rsid w:val="00FB21EB"/>
    <w:rsid w:val="00FB2606"/>
    <w:rsid w:val="00FB2801"/>
    <w:rsid w:val="00FB32A2"/>
    <w:rsid w:val="00FB39C9"/>
    <w:rsid w:val="00FB3BE0"/>
    <w:rsid w:val="00FB3C6F"/>
    <w:rsid w:val="00FB60FF"/>
    <w:rsid w:val="00FB6184"/>
    <w:rsid w:val="00FB628D"/>
    <w:rsid w:val="00FB63AE"/>
    <w:rsid w:val="00FB6C8C"/>
    <w:rsid w:val="00FB6DEA"/>
    <w:rsid w:val="00FB705E"/>
    <w:rsid w:val="00FB7952"/>
    <w:rsid w:val="00FB7FE6"/>
    <w:rsid w:val="00FC08C7"/>
    <w:rsid w:val="00FC114F"/>
    <w:rsid w:val="00FC122E"/>
    <w:rsid w:val="00FC159A"/>
    <w:rsid w:val="00FC224F"/>
    <w:rsid w:val="00FC23AA"/>
    <w:rsid w:val="00FC2A02"/>
    <w:rsid w:val="00FC2C5C"/>
    <w:rsid w:val="00FC3373"/>
    <w:rsid w:val="00FC4EF0"/>
    <w:rsid w:val="00FC5185"/>
    <w:rsid w:val="00FC57AD"/>
    <w:rsid w:val="00FC586A"/>
    <w:rsid w:val="00FC596F"/>
    <w:rsid w:val="00FC5A35"/>
    <w:rsid w:val="00FC6257"/>
    <w:rsid w:val="00FC6D0D"/>
    <w:rsid w:val="00FC6F29"/>
    <w:rsid w:val="00FD0797"/>
    <w:rsid w:val="00FD07D1"/>
    <w:rsid w:val="00FD0CC3"/>
    <w:rsid w:val="00FD14B8"/>
    <w:rsid w:val="00FD1694"/>
    <w:rsid w:val="00FD172A"/>
    <w:rsid w:val="00FD1A98"/>
    <w:rsid w:val="00FD1D21"/>
    <w:rsid w:val="00FD2675"/>
    <w:rsid w:val="00FD2E7C"/>
    <w:rsid w:val="00FD2FD7"/>
    <w:rsid w:val="00FD3B40"/>
    <w:rsid w:val="00FD4144"/>
    <w:rsid w:val="00FD50E9"/>
    <w:rsid w:val="00FD5851"/>
    <w:rsid w:val="00FD5F28"/>
    <w:rsid w:val="00FD6026"/>
    <w:rsid w:val="00FD6470"/>
    <w:rsid w:val="00FD6DAD"/>
    <w:rsid w:val="00FE008C"/>
    <w:rsid w:val="00FE1D8F"/>
    <w:rsid w:val="00FE21A7"/>
    <w:rsid w:val="00FE2541"/>
    <w:rsid w:val="00FE36C8"/>
    <w:rsid w:val="00FE4415"/>
    <w:rsid w:val="00FE47E8"/>
    <w:rsid w:val="00FF0B47"/>
    <w:rsid w:val="00FF0F25"/>
    <w:rsid w:val="00FF140B"/>
    <w:rsid w:val="00FF1FCC"/>
    <w:rsid w:val="00FF22BB"/>
    <w:rsid w:val="00FF3089"/>
    <w:rsid w:val="00FF3748"/>
    <w:rsid w:val="00FF4CC8"/>
    <w:rsid w:val="00FF4DF2"/>
    <w:rsid w:val="00FF5167"/>
    <w:rsid w:val="00FF6537"/>
    <w:rsid w:val="00FF66EF"/>
    <w:rsid w:val="00FF682A"/>
    <w:rsid w:val="00FF7A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E7BE3"/>
  <w15:docId w15:val="{62B74AB2-8C09-4CF6-922D-29890A19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A0"/>
    <w:rPr>
      <w:sz w:val="24"/>
      <w:szCs w:val="24"/>
      <w:lang w:val="en-US" w:eastAsia="en-US" w:bidi="he-IL"/>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uppressAutoHyphens/>
      <w:outlineLvl w:val="1"/>
    </w:pPr>
    <w:rPr>
      <w:sz w:val="20"/>
      <w:szCs w:val="20"/>
      <w:lang w:val="en-GB" w:bidi="ar-SA"/>
    </w:rPr>
  </w:style>
  <w:style w:type="paragraph" w:styleId="Heading3">
    <w:name w:val="heading 3"/>
    <w:basedOn w:val="Normal"/>
    <w:next w:val="Normal"/>
    <w:qFormat/>
    <w:rsid w:val="000272B3"/>
    <w:pPr>
      <w:suppressAutoHyphens/>
      <w:outlineLvl w:val="2"/>
    </w:pPr>
    <w:rPr>
      <w:sz w:val="20"/>
      <w:szCs w:val="20"/>
      <w:lang w:val="en-GB" w:bidi="ar-SA"/>
    </w:rPr>
  </w:style>
  <w:style w:type="paragraph" w:styleId="Heading4">
    <w:name w:val="heading 4"/>
    <w:basedOn w:val="Normal"/>
    <w:next w:val="Normal"/>
    <w:qFormat/>
    <w:rsid w:val="000272B3"/>
    <w:pPr>
      <w:suppressAutoHyphens/>
      <w:outlineLvl w:val="3"/>
    </w:pPr>
    <w:rPr>
      <w:sz w:val="20"/>
      <w:szCs w:val="20"/>
      <w:lang w:val="en-GB" w:bidi="ar-SA"/>
    </w:rPr>
  </w:style>
  <w:style w:type="paragraph" w:styleId="Heading5">
    <w:name w:val="heading 5"/>
    <w:basedOn w:val="Normal"/>
    <w:next w:val="Normal"/>
    <w:qFormat/>
    <w:rsid w:val="000272B3"/>
    <w:pPr>
      <w:suppressAutoHyphens/>
      <w:outlineLvl w:val="4"/>
    </w:pPr>
    <w:rPr>
      <w:sz w:val="20"/>
      <w:szCs w:val="20"/>
      <w:lang w:val="en-GB" w:bidi="ar-SA"/>
    </w:rPr>
  </w:style>
  <w:style w:type="paragraph" w:styleId="Heading6">
    <w:name w:val="heading 6"/>
    <w:basedOn w:val="Normal"/>
    <w:next w:val="Normal"/>
    <w:qFormat/>
    <w:rsid w:val="000272B3"/>
    <w:pPr>
      <w:suppressAutoHyphens/>
      <w:outlineLvl w:val="5"/>
    </w:pPr>
    <w:rPr>
      <w:sz w:val="20"/>
      <w:szCs w:val="20"/>
      <w:lang w:val="en-GB" w:bidi="ar-SA"/>
    </w:rPr>
  </w:style>
  <w:style w:type="paragraph" w:styleId="Heading7">
    <w:name w:val="heading 7"/>
    <w:basedOn w:val="Normal"/>
    <w:next w:val="Normal"/>
    <w:qFormat/>
    <w:rsid w:val="000272B3"/>
    <w:pPr>
      <w:suppressAutoHyphens/>
      <w:outlineLvl w:val="6"/>
    </w:pPr>
    <w:rPr>
      <w:sz w:val="20"/>
      <w:szCs w:val="20"/>
      <w:lang w:val="en-GB" w:bidi="ar-SA"/>
    </w:rPr>
  </w:style>
  <w:style w:type="paragraph" w:styleId="Heading8">
    <w:name w:val="heading 8"/>
    <w:basedOn w:val="Normal"/>
    <w:next w:val="Normal"/>
    <w:qFormat/>
    <w:rsid w:val="000272B3"/>
    <w:pPr>
      <w:suppressAutoHyphens/>
      <w:outlineLvl w:val="7"/>
    </w:pPr>
    <w:rPr>
      <w:sz w:val="20"/>
      <w:szCs w:val="20"/>
      <w:lang w:val="en-GB" w:bidi="ar-SA"/>
    </w:rPr>
  </w:style>
  <w:style w:type="paragraph" w:styleId="Heading9">
    <w:name w:val="heading 9"/>
    <w:basedOn w:val="Normal"/>
    <w:next w:val="Normal"/>
    <w:qFormat/>
    <w:rsid w:val="000272B3"/>
    <w:pPr>
      <w:suppressAutoHyphens/>
      <w:outlineLvl w:val="8"/>
    </w:pPr>
    <w:rPr>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uppressAutoHyphens/>
      <w:spacing w:after="120" w:line="240" w:lineRule="atLeast"/>
      <w:ind w:left="1134" w:right="1134"/>
      <w:jc w:val="both"/>
    </w:pPr>
    <w:rPr>
      <w:sz w:val="20"/>
      <w:szCs w:val="20"/>
      <w:lang w:val="en-GB" w:bidi="ar-SA"/>
    </w:rPr>
  </w:style>
  <w:style w:type="paragraph" w:customStyle="1" w:styleId="HMG">
    <w:name w:val="_ H __M_G"/>
    <w:basedOn w:val="Normal"/>
    <w:next w:val="Normal"/>
    <w:rsid w:val="000272B3"/>
    <w:pPr>
      <w:keepNext/>
      <w:keepLines/>
      <w:tabs>
        <w:tab w:val="right" w:pos="851"/>
      </w:tabs>
      <w:suppressAutoHyphens/>
      <w:spacing w:before="240" w:after="240" w:line="360" w:lineRule="exact"/>
      <w:ind w:left="1134" w:right="1134" w:hanging="1134"/>
    </w:pPr>
    <w:rPr>
      <w:b/>
      <w:sz w:val="34"/>
      <w:szCs w:val="20"/>
      <w:lang w:val="en-GB" w:bidi="ar-SA"/>
    </w:rPr>
  </w:style>
  <w:style w:type="paragraph" w:customStyle="1" w:styleId="HChG">
    <w:name w:val="_ H _Ch_G"/>
    <w:basedOn w:val="Normal"/>
    <w:next w:val="Normal"/>
    <w:rsid w:val="000272B3"/>
    <w:pPr>
      <w:keepNext/>
      <w:keepLines/>
      <w:tabs>
        <w:tab w:val="right" w:pos="851"/>
      </w:tabs>
      <w:suppressAutoHyphens/>
      <w:spacing w:before="360" w:after="240" w:line="300" w:lineRule="exact"/>
      <w:ind w:left="1134" w:right="1134" w:hanging="1134"/>
    </w:pPr>
    <w:rPr>
      <w:b/>
      <w:sz w:val="28"/>
      <w:szCs w:val="20"/>
      <w:lang w:val="en-GB" w:bidi="ar-SA"/>
    </w:rPr>
  </w:style>
  <w:style w:type="paragraph" w:styleId="Header">
    <w:name w:val="header"/>
    <w:aliases w:val="6_G"/>
    <w:basedOn w:val="Normal"/>
    <w:rsid w:val="000272B3"/>
    <w:pPr>
      <w:pBdr>
        <w:bottom w:val="single" w:sz="4" w:space="4" w:color="auto"/>
      </w:pBdr>
      <w:suppressAutoHyphens/>
    </w:pPr>
    <w:rPr>
      <w:b/>
      <w:sz w:val="18"/>
      <w:szCs w:val="20"/>
      <w:lang w:val="en-GB"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35C6E"/>
    <w:pPr>
      <w:tabs>
        <w:tab w:val="right" w:pos="1021"/>
      </w:tabs>
      <w:suppressAutoHyphens/>
      <w:ind w:left="1134" w:right="1134" w:hanging="1134"/>
      <w:jc w:val="both"/>
    </w:pPr>
    <w:rPr>
      <w:sz w:val="18"/>
      <w:szCs w:val="20"/>
      <w:lang w:val="x-none" w:bidi="ar-SA"/>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uppressAutoHyphens/>
      <w:spacing w:before="240" w:after="240" w:line="420" w:lineRule="exact"/>
      <w:ind w:left="1134" w:right="1134"/>
    </w:pPr>
    <w:rPr>
      <w:b/>
      <w:sz w:val="40"/>
      <w:szCs w:val="20"/>
      <w:lang w:val="en-GB" w:bidi="ar-SA"/>
    </w:rPr>
  </w:style>
  <w:style w:type="paragraph" w:customStyle="1" w:styleId="SLG">
    <w:name w:val="__S_L_G"/>
    <w:basedOn w:val="Normal"/>
    <w:next w:val="Normal"/>
    <w:rsid w:val="000272B3"/>
    <w:pPr>
      <w:keepNext/>
      <w:keepLines/>
      <w:suppressAutoHyphens/>
      <w:spacing w:before="240" w:after="240" w:line="580" w:lineRule="exact"/>
      <w:ind w:left="1134" w:right="1134"/>
    </w:pPr>
    <w:rPr>
      <w:b/>
      <w:sz w:val="56"/>
      <w:szCs w:val="20"/>
      <w:lang w:val="en-GB" w:bidi="ar-SA"/>
    </w:rPr>
  </w:style>
  <w:style w:type="paragraph" w:customStyle="1" w:styleId="SSG">
    <w:name w:val="__S_S_G"/>
    <w:basedOn w:val="Normal"/>
    <w:next w:val="Normal"/>
    <w:rsid w:val="000272B3"/>
    <w:pPr>
      <w:keepNext/>
      <w:keepLines/>
      <w:suppressAutoHyphens/>
      <w:spacing w:before="240" w:after="240" w:line="300" w:lineRule="exact"/>
      <w:ind w:left="1134" w:right="1134"/>
    </w:pPr>
    <w:rPr>
      <w:b/>
      <w:sz w:val="28"/>
      <w:szCs w:val="20"/>
      <w:lang w:val="en-GB" w:bidi="ar-SA"/>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uppressAutoHyphens/>
      <w:spacing w:before="240" w:after="240" w:line="420" w:lineRule="exact"/>
      <w:ind w:left="1134" w:right="1134"/>
    </w:pPr>
    <w:rPr>
      <w:b/>
      <w:sz w:val="40"/>
      <w:szCs w:val="20"/>
      <w:lang w:val="en-GB" w:bidi="ar-SA"/>
    </w:rPr>
  </w:style>
  <w:style w:type="paragraph" w:customStyle="1" w:styleId="Bullet1G">
    <w:name w:val="_Bullet 1_G"/>
    <w:basedOn w:val="Normal"/>
    <w:rsid w:val="000272B3"/>
    <w:pPr>
      <w:numPr>
        <w:numId w:val="1"/>
      </w:numPr>
      <w:suppressAutoHyphens/>
      <w:spacing w:after="120" w:line="240" w:lineRule="atLeast"/>
      <w:ind w:right="1134"/>
      <w:jc w:val="both"/>
    </w:pPr>
    <w:rPr>
      <w:sz w:val="20"/>
      <w:szCs w:val="20"/>
      <w:lang w:val="en-GB" w:bidi="ar-SA"/>
    </w:rPr>
  </w:style>
  <w:style w:type="paragraph" w:styleId="Footer">
    <w:name w:val="footer"/>
    <w:aliases w:val="3_G"/>
    <w:basedOn w:val="Normal"/>
    <w:link w:val="FooterChar"/>
    <w:uiPriority w:val="99"/>
    <w:rsid w:val="000272B3"/>
    <w:pPr>
      <w:suppressAutoHyphens/>
    </w:pPr>
    <w:rPr>
      <w:sz w:val="16"/>
      <w:szCs w:val="20"/>
      <w:lang w:val="en-GB" w:bidi="ar-SA"/>
    </w:rPr>
  </w:style>
  <w:style w:type="paragraph" w:customStyle="1" w:styleId="Bullet2G">
    <w:name w:val="_Bullet 2_G"/>
    <w:basedOn w:val="Normal"/>
    <w:rsid w:val="000272B3"/>
    <w:pPr>
      <w:numPr>
        <w:numId w:val="2"/>
      </w:numPr>
      <w:suppressAutoHyphens/>
      <w:spacing w:after="120" w:line="240" w:lineRule="atLeast"/>
      <w:ind w:right="1134"/>
      <w:jc w:val="both"/>
    </w:pPr>
    <w:rPr>
      <w:sz w:val="20"/>
      <w:szCs w:val="20"/>
      <w:lang w:val="en-GB" w:bidi="ar-SA"/>
    </w:rPr>
  </w:style>
  <w:style w:type="paragraph" w:customStyle="1" w:styleId="H1G">
    <w:name w:val="_ H_1_G"/>
    <w:basedOn w:val="Normal"/>
    <w:next w:val="Normal"/>
    <w:rsid w:val="000272B3"/>
    <w:pPr>
      <w:keepNext/>
      <w:keepLines/>
      <w:tabs>
        <w:tab w:val="right" w:pos="851"/>
      </w:tabs>
      <w:suppressAutoHyphens/>
      <w:spacing w:before="360" w:after="240" w:line="270" w:lineRule="exact"/>
      <w:ind w:left="1134" w:right="1134" w:hanging="1134"/>
    </w:pPr>
    <w:rPr>
      <w:b/>
      <w:szCs w:val="20"/>
      <w:lang w:val="en-GB" w:bidi="ar-SA"/>
    </w:rPr>
  </w:style>
  <w:style w:type="paragraph" w:customStyle="1" w:styleId="H23G">
    <w:name w:val="_ H_2/3_G"/>
    <w:basedOn w:val="Normal"/>
    <w:next w:val="Normal"/>
    <w:qFormat/>
    <w:rsid w:val="000272B3"/>
    <w:pPr>
      <w:keepNext/>
      <w:keepLines/>
      <w:tabs>
        <w:tab w:val="right" w:pos="851"/>
      </w:tabs>
      <w:suppressAutoHyphens/>
      <w:spacing w:before="240" w:after="120" w:line="240" w:lineRule="exact"/>
      <w:ind w:left="1134" w:right="1134" w:hanging="1134"/>
    </w:pPr>
    <w:rPr>
      <w:b/>
      <w:sz w:val="20"/>
      <w:szCs w:val="20"/>
      <w:lang w:val="en-GB" w:bidi="ar-SA"/>
    </w:rPr>
  </w:style>
  <w:style w:type="paragraph" w:customStyle="1" w:styleId="H4G">
    <w:name w:val="_ H_4_G"/>
    <w:basedOn w:val="Normal"/>
    <w:next w:val="Normal"/>
    <w:rsid w:val="000272B3"/>
    <w:pPr>
      <w:keepNext/>
      <w:keepLines/>
      <w:tabs>
        <w:tab w:val="right" w:pos="851"/>
      </w:tabs>
      <w:suppressAutoHyphens/>
      <w:spacing w:before="240" w:after="120" w:line="240" w:lineRule="exact"/>
      <w:ind w:left="1134" w:right="1134" w:hanging="1134"/>
    </w:pPr>
    <w:rPr>
      <w:i/>
      <w:sz w:val="20"/>
      <w:szCs w:val="20"/>
      <w:lang w:val="en-GB" w:bidi="ar-SA"/>
    </w:rPr>
  </w:style>
  <w:style w:type="paragraph" w:customStyle="1" w:styleId="H56G">
    <w:name w:val="_ H_5/6_G"/>
    <w:basedOn w:val="Normal"/>
    <w:next w:val="Normal"/>
    <w:rsid w:val="000272B3"/>
    <w:pPr>
      <w:keepNext/>
      <w:keepLines/>
      <w:tabs>
        <w:tab w:val="right" w:pos="851"/>
      </w:tabs>
      <w:suppressAutoHyphens/>
      <w:spacing w:before="240" w:after="120" w:line="240" w:lineRule="exact"/>
      <w:ind w:left="1134" w:right="1134" w:hanging="1134"/>
    </w:pPr>
    <w:rPr>
      <w:sz w:val="20"/>
      <w:szCs w:val="20"/>
      <w:lang w:val="en-GB"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035C6E"/>
    <w:rPr>
      <w:sz w:val="18"/>
      <w:lang w:val="x-none" w:eastAsia="en-US"/>
    </w:rPr>
  </w:style>
  <w:style w:type="paragraph" w:styleId="BalloonText">
    <w:name w:val="Balloon Text"/>
    <w:basedOn w:val="Normal"/>
    <w:link w:val="BalloonTextChar"/>
    <w:rsid w:val="00E11B5E"/>
    <w:pPr>
      <w:suppressAutoHyphens/>
    </w:pPr>
    <w:rPr>
      <w:rFonts w:ascii="Tahoma" w:hAnsi="Tahoma"/>
      <w:sz w:val="16"/>
      <w:szCs w:val="16"/>
      <w:lang w:val="x-none" w:bidi="ar-SA"/>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pPr>
      <w:suppressAutoHyphens/>
      <w:spacing w:line="240" w:lineRule="atLeast"/>
    </w:pPr>
    <w:rPr>
      <w:sz w:val="20"/>
      <w:szCs w:val="20"/>
      <w:lang w:val="en-GB" w:bidi="ar-SA"/>
    </w:rPr>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ColorfulShading-Accent11">
    <w:name w:val="Colorful Shading - Accent 11"/>
    <w:hidden/>
    <w:uiPriority w:val="99"/>
    <w:semiHidden/>
    <w:rsid w:val="00094AA5"/>
    <w:rPr>
      <w:lang w:eastAsia="en-US"/>
    </w:rPr>
  </w:style>
  <w:style w:type="paragraph" w:customStyle="1" w:styleId="JuPara">
    <w:name w:val="Ju_Para"/>
    <w:basedOn w:val="Normal"/>
    <w:link w:val="JuParaCar"/>
    <w:rsid w:val="00213061"/>
    <w:pPr>
      <w:ind w:firstLine="284"/>
      <w:jc w:val="both"/>
    </w:pPr>
    <w:rPr>
      <w:szCs w:val="20"/>
      <w:lang w:val="en-GB" w:eastAsia="fr-FR" w:bidi="ar-SA"/>
    </w:rPr>
  </w:style>
  <w:style w:type="character" w:customStyle="1" w:styleId="JuParaCar">
    <w:name w:val="Ju_Para Car"/>
    <w:link w:val="JuPara"/>
    <w:rsid w:val="00213061"/>
    <w:rPr>
      <w:sz w:val="24"/>
      <w:lang w:eastAsia="fr-FR"/>
    </w:rPr>
  </w:style>
  <w:style w:type="paragraph" w:customStyle="1" w:styleId="MediumGrid1-Accent21">
    <w:name w:val="Medium Grid 1 - Accent 21"/>
    <w:basedOn w:val="Normal"/>
    <w:uiPriority w:val="99"/>
    <w:qFormat/>
    <w:rsid w:val="00796025"/>
    <w:pPr>
      <w:ind w:left="720"/>
      <w:contextualSpacing/>
    </w:pPr>
    <w:rPr>
      <w:rFonts w:ascii="Calibri" w:eastAsia="MS Mincho" w:hAnsi="Calibri"/>
      <w:lang w:bidi="ar-SA"/>
    </w:rPr>
  </w:style>
  <w:style w:type="paragraph" w:styleId="ListParagraph">
    <w:name w:val="List Paragraph"/>
    <w:basedOn w:val="Normal"/>
    <w:uiPriority w:val="34"/>
    <w:qFormat/>
    <w:rsid w:val="00F77983"/>
    <w:pPr>
      <w:ind w:left="720"/>
      <w:contextualSpacing/>
    </w:pPr>
    <w:rPr>
      <w:rFonts w:asciiTheme="minorHAnsi" w:eastAsiaTheme="minorEastAsia" w:hAnsiTheme="minorHAnsi" w:cstheme="minorBidi"/>
      <w:lang w:bidi="ar-SA"/>
    </w:rPr>
  </w:style>
  <w:style w:type="character" w:customStyle="1" w:styleId="FooterChar">
    <w:name w:val="Footer Char"/>
    <w:aliases w:val="3_G Char"/>
    <w:basedOn w:val="DefaultParagraphFont"/>
    <w:link w:val="Footer"/>
    <w:uiPriority w:val="99"/>
    <w:rsid w:val="00F77983"/>
    <w:rPr>
      <w:sz w:val="16"/>
      <w:lang w:eastAsia="en-US"/>
    </w:rPr>
  </w:style>
  <w:style w:type="paragraph" w:styleId="Revision">
    <w:name w:val="Revision"/>
    <w:hidden/>
    <w:uiPriority w:val="62"/>
    <w:semiHidden/>
    <w:rsid w:val="005E0EEA"/>
    <w:rPr>
      <w:sz w:val="24"/>
      <w:szCs w:val="24"/>
      <w:lang w:val="en-US" w:eastAsia="en-US" w:bidi="he-IL"/>
    </w:rPr>
  </w:style>
  <w:style w:type="character" w:customStyle="1" w:styleId="UnresolvedMention">
    <w:name w:val="Unresolved Mention"/>
    <w:basedOn w:val="DefaultParagraphFont"/>
    <w:uiPriority w:val="99"/>
    <w:semiHidden/>
    <w:unhideWhenUsed/>
    <w:rsid w:val="00BB0E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5657">
      <w:bodyDiv w:val="1"/>
      <w:marLeft w:val="0"/>
      <w:marRight w:val="0"/>
      <w:marTop w:val="0"/>
      <w:marBottom w:val="0"/>
      <w:divBdr>
        <w:top w:val="none" w:sz="0" w:space="0" w:color="auto"/>
        <w:left w:val="none" w:sz="0" w:space="0" w:color="auto"/>
        <w:bottom w:val="none" w:sz="0" w:space="0" w:color="auto"/>
        <w:right w:val="none" w:sz="0" w:space="0" w:color="auto"/>
      </w:divBdr>
    </w:div>
    <w:div w:id="767653569">
      <w:bodyDiv w:val="1"/>
      <w:marLeft w:val="0"/>
      <w:marRight w:val="0"/>
      <w:marTop w:val="0"/>
      <w:marBottom w:val="0"/>
      <w:divBdr>
        <w:top w:val="none" w:sz="0" w:space="0" w:color="auto"/>
        <w:left w:val="none" w:sz="0" w:space="0" w:color="auto"/>
        <w:bottom w:val="none" w:sz="0" w:space="0" w:color="auto"/>
        <w:right w:val="none" w:sz="0" w:space="0" w:color="auto"/>
      </w:divBdr>
    </w:div>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288001516">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 w:id="1888183471">
      <w:bodyDiv w:val="1"/>
      <w:marLeft w:val="0"/>
      <w:marRight w:val="0"/>
      <w:marTop w:val="0"/>
      <w:marBottom w:val="0"/>
      <w:divBdr>
        <w:top w:val="none" w:sz="0" w:space="0" w:color="auto"/>
        <w:left w:val="none" w:sz="0" w:space="0" w:color="auto"/>
        <w:bottom w:val="none" w:sz="0" w:space="0" w:color="auto"/>
        <w:right w:val="none" w:sz="0" w:space="0" w:color="auto"/>
      </w:divBdr>
      <w:divsChild>
        <w:div w:id="2122335276">
          <w:marLeft w:val="0"/>
          <w:marRight w:val="0"/>
          <w:marTop w:val="0"/>
          <w:marBottom w:val="0"/>
          <w:divBdr>
            <w:top w:val="none" w:sz="0" w:space="0" w:color="auto"/>
            <w:left w:val="none" w:sz="0" w:space="0" w:color="auto"/>
            <w:bottom w:val="none" w:sz="0" w:space="0" w:color="auto"/>
            <w:right w:val="none" w:sz="0" w:space="0" w:color="auto"/>
          </w:divBdr>
          <w:divsChild>
            <w:div w:id="1994944907">
              <w:marLeft w:val="-225"/>
              <w:marRight w:val="-225"/>
              <w:marTop w:val="0"/>
              <w:marBottom w:val="0"/>
              <w:divBdr>
                <w:top w:val="none" w:sz="0" w:space="0" w:color="auto"/>
                <w:left w:val="none" w:sz="0" w:space="0" w:color="auto"/>
                <w:bottom w:val="none" w:sz="0" w:space="0" w:color="auto"/>
                <w:right w:val="none" w:sz="0" w:space="0" w:color="auto"/>
              </w:divBdr>
              <w:divsChild>
                <w:div w:id="1122380846">
                  <w:marLeft w:val="0"/>
                  <w:marRight w:val="0"/>
                  <w:marTop w:val="0"/>
                  <w:marBottom w:val="0"/>
                  <w:divBdr>
                    <w:top w:val="none" w:sz="0" w:space="0" w:color="auto"/>
                    <w:left w:val="none" w:sz="0" w:space="0" w:color="auto"/>
                    <w:bottom w:val="none" w:sz="0" w:space="0" w:color="auto"/>
                    <w:right w:val="none" w:sz="0" w:space="0" w:color="auto"/>
                  </w:divBdr>
                  <w:divsChild>
                    <w:div w:id="10428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7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00BDC-C378-40AB-AAC9-ED22908C0718}"/>
</file>

<file path=customXml/itemProps2.xml><?xml version="1.0" encoding="utf-8"?>
<ds:datastoreItem xmlns:ds="http://schemas.openxmlformats.org/officeDocument/2006/customXml" ds:itemID="{6E70CFAD-2841-4261-96A3-DB82EE4E13D6}"/>
</file>

<file path=customXml/itemProps3.xml><?xml version="1.0" encoding="utf-8"?>
<ds:datastoreItem xmlns:ds="http://schemas.openxmlformats.org/officeDocument/2006/customXml" ds:itemID="{436EEE64-19E7-49EA-B75F-8F14BBA877DA}"/>
</file>

<file path=customXml/itemProps4.xml><?xml version="1.0" encoding="utf-8"?>
<ds:datastoreItem xmlns:ds="http://schemas.openxmlformats.org/officeDocument/2006/customXml" ds:itemID="{220ACDF5-88C3-453C-9E19-A6CCDCDEE760}"/>
</file>

<file path=docProps/app.xml><?xml version="1.0" encoding="utf-8"?>
<Properties xmlns="http://schemas.openxmlformats.org/officeDocument/2006/extended-properties" xmlns:vt="http://schemas.openxmlformats.org/officeDocument/2006/docPropsVTypes">
  <Template>Normal.dotm</Template>
  <TotalTime>53</TotalTime>
  <Pages>11</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CCPR/C/125/DR/2494/2014</vt:lpstr>
    </vt:vector>
  </TitlesOfParts>
  <Company>CSD</Company>
  <LinksUpToDate>false</LinksUpToDate>
  <CharactersWithSpaces>37317</CharactersWithSpaces>
  <SharedDoc>false</SharedDoc>
  <HLinks>
    <vt:vector size="18" baseType="variant">
      <vt:variant>
        <vt:i4>7209013</vt:i4>
      </vt:variant>
      <vt:variant>
        <vt:i4>6</vt:i4>
      </vt:variant>
      <vt:variant>
        <vt:i4>0</vt:i4>
      </vt:variant>
      <vt:variant>
        <vt:i4>5</vt:i4>
      </vt:variant>
      <vt:variant>
        <vt:lpwstr>https://wcd.coe.int/com.instranet.InstraServlet?command=com.instranet.CmdBlobGet&amp;InstranetImage=2801758&amp;SecMode=1&amp;DocId=2284888&amp;Usage=2</vt:lpwstr>
      </vt:variant>
      <vt:variant>
        <vt:lpwstr/>
      </vt:variant>
      <vt:variant>
        <vt:i4>65622</vt:i4>
      </vt:variant>
      <vt:variant>
        <vt:i4>3</vt:i4>
      </vt:variant>
      <vt:variant>
        <vt:i4>0</vt:i4>
      </vt:variant>
      <vt:variant>
        <vt:i4>5</vt:i4>
      </vt:variant>
      <vt:variant>
        <vt:lpwstr>http://www.refworld.org/docid/51b57c864.html</vt:lpwstr>
      </vt:variant>
      <vt:variant>
        <vt:lpwstr/>
      </vt:variant>
      <vt:variant>
        <vt:i4>1703936</vt:i4>
      </vt:variant>
      <vt:variant>
        <vt:i4>0</vt:i4>
      </vt:variant>
      <vt:variant>
        <vt:i4>0</vt:i4>
      </vt:variant>
      <vt:variant>
        <vt:i4>5</vt:i4>
      </vt:variant>
      <vt:variant>
        <vt:lpwstr>http://bordermonitoring.eu/wp-content/uploads/reports/bm.eu-2014-bulgaria.en.pdf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CCPR/C/125/DR/2494/2014</dc:title>
  <dc:subject>1903290</dc:subject>
  <dc:creator>temp Neogi</dc:creator>
  <cp:keywords/>
  <dc:description/>
  <cp:lastModifiedBy>ABDELAZIM Mohamed</cp:lastModifiedBy>
  <cp:revision>9</cp:revision>
  <cp:lastPrinted>2019-01-04T12:48:00Z</cp:lastPrinted>
  <dcterms:created xsi:type="dcterms:W3CDTF">2019-03-14T15:25:00Z</dcterms:created>
  <dcterms:modified xsi:type="dcterms:W3CDTF">2019-04-10T08:45:00Z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