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04F70" w14:paraId="3FFB7C7B" w14:textId="77777777">
        <w:trPr>
          <w:cantSplit/>
          <w:trHeight w:hRule="exact" w:val="851"/>
        </w:trPr>
        <w:tc>
          <w:tcPr>
            <w:tcW w:w="1276" w:type="dxa"/>
            <w:tcBorders>
              <w:bottom w:val="single" w:sz="4" w:space="0" w:color="auto"/>
            </w:tcBorders>
            <w:vAlign w:val="bottom"/>
          </w:tcPr>
          <w:p w14:paraId="4763F581" w14:textId="77777777" w:rsidR="00B56E9C" w:rsidRPr="00304F70" w:rsidRDefault="00B56E9C" w:rsidP="00B6553F">
            <w:pPr>
              <w:spacing w:after="80"/>
            </w:pPr>
          </w:p>
        </w:tc>
        <w:tc>
          <w:tcPr>
            <w:tcW w:w="2268" w:type="dxa"/>
            <w:tcBorders>
              <w:bottom w:val="single" w:sz="4" w:space="0" w:color="auto"/>
            </w:tcBorders>
            <w:vAlign w:val="bottom"/>
          </w:tcPr>
          <w:p w14:paraId="60CE2D74" w14:textId="77777777" w:rsidR="00B56E9C" w:rsidRPr="00304F70" w:rsidRDefault="00B56E9C" w:rsidP="00B6553F">
            <w:pPr>
              <w:spacing w:after="80" w:line="300" w:lineRule="exact"/>
              <w:rPr>
                <w:b/>
                <w:sz w:val="24"/>
                <w:szCs w:val="24"/>
              </w:rPr>
            </w:pPr>
            <w:r w:rsidRPr="00304F70">
              <w:rPr>
                <w:sz w:val="28"/>
                <w:szCs w:val="28"/>
              </w:rPr>
              <w:t>United Nations</w:t>
            </w:r>
          </w:p>
        </w:tc>
        <w:tc>
          <w:tcPr>
            <w:tcW w:w="6095" w:type="dxa"/>
            <w:gridSpan w:val="2"/>
            <w:tcBorders>
              <w:bottom w:val="single" w:sz="4" w:space="0" w:color="auto"/>
            </w:tcBorders>
            <w:vAlign w:val="bottom"/>
          </w:tcPr>
          <w:p w14:paraId="60B2A1F1" w14:textId="1A298543" w:rsidR="00B56E9C" w:rsidRPr="00304F70" w:rsidRDefault="00FA222B" w:rsidP="009B14F7">
            <w:pPr>
              <w:jc w:val="right"/>
            </w:pPr>
            <w:r w:rsidRPr="00304F70">
              <w:rPr>
                <w:sz w:val="40"/>
              </w:rPr>
              <w:t>CCPR</w:t>
            </w:r>
            <w:r w:rsidRPr="00304F70">
              <w:t>/C</w:t>
            </w:r>
            <w:r w:rsidR="00AC51C1">
              <w:t>/</w:t>
            </w:r>
            <w:r w:rsidR="005148E1" w:rsidRPr="00304F70">
              <w:t>1</w:t>
            </w:r>
            <w:r w:rsidR="00703B2D" w:rsidRPr="00304F70">
              <w:t>2</w:t>
            </w:r>
            <w:r w:rsidR="005715D6">
              <w:t>5</w:t>
            </w:r>
            <w:r w:rsidR="005148E1" w:rsidRPr="00304F70">
              <w:t>/</w:t>
            </w:r>
            <w:r w:rsidRPr="00304F70">
              <w:t>D/2</w:t>
            </w:r>
            <w:r w:rsidR="003A1DA7">
              <w:t>923</w:t>
            </w:r>
            <w:r w:rsidRPr="00304F70">
              <w:t>/201</w:t>
            </w:r>
            <w:r w:rsidR="003A1DA7">
              <w:t>6</w:t>
            </w:r>
          </w:p>
        </w:tc>
      </w:tr>
      <w:tr w:rsidR="00B56E9C" w:rsidRPr="00304F70" w14:paraId="788C2F40" w14:textId="77777777">
        <w:trPr>
          <w:cantSplit/>
          <w:trHeight w:hRule="exact" w:val="2835"/>
        </w:trPr>
        <w:tc>
          <w:tcPr>
            <w:tcW w:w="1276" w:type="dxa"/>
            <w:tcBorders>
              <w:top w:val="single" w:sz="4" w:space="0" w:color="auto"/>
              <w:bottom w:val="single" w:sz="12" w:space="0" w:color="auto"/>
            </w:tcBorders>
          </w:tcPr>
          <w:p w14:paraId="2DE36409" w14:textId="77777777" w:rsidR="00B56E9C" w:rsidRPr="00304F70" w:rsidRDefault="00665CF3" w:rsidP="00B6553F">
            <w:pPr>
              <w:spacing w:before="120"/>
            </w:pPr>
            <w:r>
              <w:rPr>
                <w:noProof/>
                <w:lang w:eastAsia="en-GB"/>
              </w:rPr>
              <w:drawing>
                <wp:inline distT="0" distB="0" distL="0" distR="0" wp14:anchorId="151E779B" wp14:editId="4CDF4149">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226561" w14:textId="77777777" w:rsidR="007758EE" w:rsidRDefault="00B56E9C" w:rsidP="00267F5F">
            <w:pPr>
              <w:spacing w:before="120" w:line="380" w:lineRule="exact"/>
              <w:rPr>
                <w:b/>
                <w:sz w:val="34"/>
                <w:szCs w:val="40"/>
              </w:rPr>
            </w:pPr>
            <w:r w:rsidRPr="00304F70">
              <w:rPr>
                <w:b/>
                <w:sz w:val="34"/>
                <w:szCs w:val="40"/>
              </w:rPr>
              <w:t xml:space="preserve">International </w:t>
            </w:r>
            <w:r w:rsidR="00060C3A" w:rsidRPr="00304F70">
              <w:rPr>
                <w:b/>
                <w:sz w:val="34"/>
                <w:szCs w:val="40"/>
              </w:rPr>
              <w:t>Covenant on</w:t>
            </w:r>
            <w:r w:rsidR="00060C3A" w:rsidRPr="00304F70">
              <w:rPr>
                <w:b/>
                <w:sz w:val="34"/>
                <w:szCs w:val="40"/>
              </w:rPr>
              <w:br/>
              <w:t>Civil and Political R</w:t>
            </w:r>
            <w:r w:rsidR="00703577" w:rsidRPr="00304F70">
              <w:rPr>
                <w:b/>
                <w:sz w:val="34"/>
                <w:szCs w:val="40"/>
              </w:rPr>
              <w:t>ights</w:t>
            </w:r>
          </w:p>
          <w:p w14:paraId="7E4F5F37" w14:textId="77777777" w:rsidR="00813658" w:rsidRDefault="00813658" w:rsidP="00267F5F">
            <w:pPr>
              <w:spacing w:before="120" w:line="380" w:lineRule="exact"/>
              <w:rPr>
                <w:b/>
                <w:sz w:val="34"/>
                <w:szCs w:val="40"/>
              </w:rPr>
            </w:pPr>
          </w:p>
          <w:p w14:paraId="0BA27775" w14:textId="5B9407B4" w:rsidR="00813658" w:rsidRPr="002573B0" w:rsidRDefault="00813658" w:rsidP="00267F5F">
            <w:pPr>
              <w:spacing w:before="120" w:line="380" w:lineRule="exact"/>
              <w:rPr>
                <w:b/>
                <w:sz w:val="34"/>
                <w:szCs w:val="40"/>
              </w:rPr>
            </w:pPr>
            <w:r>
              <w:rPr>
                <w:sz w:val="34"/>
                <w:szCs w:val="40"/>
              </w:rPr>
              <w:t>Advance unedited version</w:t>
            </w:r>
          </w:p>
        </w:tc>
        <w:tc>
          <w:tcPr>
            <w:tcW w:w="2835" w:type="dxa"/>
            <w:tcBorders>
              <w:top w:val="single" w:sz="4" w:space="0" w:color="auto"/>
              <w:bottom w:val="single" w:sz="12" w:space="0" w:color="auto"/>
            </w:tcBorders>
          </w:tcPr>
          <w:p w14:paraId="72CD6C30" w14:textId="06522E69" w:rsidR="00891D98" w:rsidRPr="00304F70" w:rsidRDefault="00891D98" w:rsidP="007F5E52">
            <w:pPr>
              <w:spacing w:before="240" w:line="240" w:lineRule="exact"/>
              <w:rPr>
                <w:sz w:val="24"/>
                <w:szCs w:val="24"/>
                <w:lang w:eastAsia="en-GB"/>
              </w:rPr>
            </w:pPr>
            <w:r w:rsidRPr="00304F70">
              <w:t xml:space="preserve">Distr.: </w:t>
            </w:r>
            <w:r w:rsidR="009B14F7">
              <w:t>General</w:t>
            </w:r>
          </w:p>
          <w:p w14:paraId="7AE4AEDC" w14:textId="3D5F2265" w:rsidR="00DC10F2" w:rsidRPr="00304F70" w:rsidRDefault="003C3E47" w:rsidP="00F25AD6">
            <w:pPr>
              <w:spacing w:line="240" w:lineRule="exact"/>
            </w:pPr>
            <w:r>
              <w:t>18</w:t>
            </w:r>
            <w:r w:rsidR="00D2394A">
              <w:t xml:space="preserve"> </w:t>
            </w:r>
            <w:r w:rsidR="00B04EFC">
              <w:t>April</w:t>
            </w:r>
            <w:r w:rsidR="00D2394A">
              <w:t xml:space="preserve"> 2019</w:t>
            </w:r>
          </w:p>
          <w:p w14:paraId="4EA7B6D8" w14:textId="77777777" w:rsidR="007F5E52" w:rsidRPr="00304F70" w:rsidRDefault="007F5E52" w:rsidP="000C67BE">
            <w:pPr>
              <w:spacing w:line="240" w:lineRule="exact"/>
            </w:pPr>
          </w:p>
          <w:p w14:paraId="131E490C" w14:textId="77777777" w:rsidR="00891D98" w:rsidRPr="00304F70" w:rsidRDefault="00891D98" w:rsidP="000C67BE">
            <w:pPr>
              <w:spacing w:line="240" w:lineRule="exact"/>
            </w:pPr>
            <w:r w:rsidRPr="00304F70">
              <w:t>Original: English</w:t>
            </w:r>
          </w:p>
          <w:p w14:paraId="6FA06D40" w14:textId="77777777" w:rsidR="00FA222B" w:rsidRPr="00304F70" w:rsidRDefault="00FA222B" w:rsidP="00873EB2">
            <w:pPr>
              <w:spacing w:line="240" w:lineRule="exact"/>
            </w:pPr>
          </w:p>
        </w:tc>
      </w:tr>
    </w:tbl>
    <w:p w14:paraId="34FDA5F5" w14:textId="77777777" w:rsidR="00891D98" w:rsidRDefault="00891D98" w:rsidP="008D4603">
      <w:pPr>
        <w:spacing w:before="120"/>
        <w:rPr>
          <w:b/>
          <w:sz w:val="24"/>
          <w:szCs w:val="24"/>
        </w:rPr>
      </w:pPr>
      <w:r w:rsidRPr="00A36331">
        <w:rPr>
          <w:b/>
          <w:sz w:val="24"/>
          <w:szCs w:val="24"/>
        </w:rPr>
        <w:t>Human Rights Committee</w:t>
      </w:r>
    </w:p>
    <w:p w14:paraId="1FE4EEB7" w14:textId="4360F20A" w:rsidR="001852A4" w:rsidRPr="00F25AD6" w:rsidRDefault="00FA222B" w:rsidP="00F25AD6">
      <w:pPr>
        <w:pStyle w:val="HChG"/>
        <w:spacing w:before="240"/>
      </w:pPr>
      <w:r w:rsidRPr="00214E11">
        <w:tab/>
      </w:r>
      <w:r w:rsidRPr="00214E11">
        <w:tab/>
      </w:r>
      <w:r w:rsidR="004C35F2" w:rsidRPr="0062131E">
        <w:t xml:space="preserve">Views adopted by the Committee under article 5 (4) of the Optional Protocol, concerning </w:t>
      </w:r>
      <w:r w:rsidR="004C35F2">
        <w:t>c</w:t>
      </w:r>
      <w:r w:rsidRPr="00214E11">
        <w:t xml:space="preserve">ommunication </w:t>
      </w:r>
      <w:r w:rsidRPr="00703B2D">
        <w:t xml:space="preserve">No. </w:t>
      </w:r>
      <w:r w:rsidRPr="003D5CDA">
        <w:t>2</w:t>
      </w:r>
      <w:r w:rsidR="002839ED">
        <w:t>923</w:t>
      </w:r>
      <w:r w:rsidRPr="003D5CDA">
        <w:t>/201</w:t>
      </w:r>
      <w:r w:rsidR="00740254">
        <w:t>6</w:t>
      </w:r>
      <w:r w:rsidR="000C0942" w:rsidRPr="00D620AF">
        <w:rPr>
          <w:b w:val="0"/>
          <w:sz w:val="20"/>
        </w:rPr>
        <w:footnoteReference w:customMarkFollows="1" w:id="2"/>
        <w:t>*</w:t>
      </w:r>
      <w:r w:rsidR="000C0942" w:rsidRPr="00D620AF">
        <w:rPr>
          <w:b w:val="0"/>
          <w:sz w:val="20"/>
          <w:vertAlign w:val="superscript"/>
        </w:rPr>
        <w:t xml:space="preserve">, </w:t>
      </w:r>
      <w:r w:rsidR="0064585E" w:rsidRPr="00D620AF">
        <w:rPr>
          <w:b w:val="0"/>
          <w:sz w:val="20"/>
        </w:rPr>
        <w:footnoteReference w:customMarkFollows="1" w:id="3"/>
        <w:t>**</w:t>
      </w:r>
      <w:r w:rsidR="005465E8" w:rsidRPr="00D620AF">
        <w:rPr>
          <w:b w:val="0"/>
          <w:sz w:val="20"/>
          <w:vertAlign w:val="superscript"/>
        </w:rPr>
        <w:t xml:space="preserve">, </w:t>
      </w:r>
      <w:r w:rsidR="005465E8" w:rsidRPr="00D620AF">
        <w:rPr>
          <w:b w:val="0"/>
          <w:sz w:val="20"/>
        </w:rPr>
        <w:footnoteReference w:customMarkFollows="1" w:id="4"/>
        <w:t>*</w:t>
      </w:r>
      <w:r w:rsidR="005465E8" w:rsidRPr="003C2BD1">
        <w:rPr>
          <w:b w:val="0"/>
          <w:sz w:val="20"/>
        </w:rPr>
        <w:t>**</w:t>
      </w:r>
    </w:p>
    <w:p w14:paraId="15045685" w14:textId="1EC12B16" w:rsidR="00F25AD6" w:rsidRPr="005B4C4B" w:rsidRDefault="001852A4" w:rsidP="00BA2916">
      <w:pPr>
        <w:pStyle w:val="H1G"/>
        <w:rPr>
          <w:b w:val="0"/>
          <w:i/>
          <w:sz w:val="20"/>
          <w:lang w:val="en-US"/>
        </w:rPr>
      </w:pPr>
      <w:r>
        <w:tab/>
      </w:r>
      <w:r>
        <w:tab/>
      </w:r>
    </w:p>
    <w:p w14:paraId="100FAFF1" w14:textId="2C61EF70" w:rsidR="00FA222B" w:rsidRPr="00214E11" w:rsidRDefault="00B36BBE" w:rsidP="007F5E52">
      <w:pPr>
        <w:pStyle w:val="SingleTxtG"/>
        <w:ind w:left="4536" w:hanging="3402"/>
        <w:jc w:val="left"/>
        <w:rPr>
          <w:i/>
          <w:lang w:val="x-none"/>
        </w:rPr>
      </w:pPr>
      <w:r>
        <w:rPr>
          <w:i/>
          <w:lang w:val="en-US"/>
        </w:rPr>
        <w:t>Communication s</w:t>
      </w:r>
      <w:proofErr w:type="spellStart"/>
      <w:r w:rsidR="00FA222B" w:rsidRPr="00214E11">
        <w:rPr>
          <w:i/>
          <w:lang w:val="x-none"/>
        </w:rPr>
        <w:t>ubmitted</w:t>
      </w:r>
      <w:proofErr w:type="spellEnd"/>
      <w:r w:rsidR="00FA222B" w:rsidRPr="00214E11">
        <w:rPr>
          <w:i/>
          <w:lang w:val="x-none"/>
        </w:rPr>
        <w:t xml:space="preserve"> by:</w:t>
      </w:r>
      <w:r w:rsidR="00FA222B" w:rsidRPr="00214E11">
        <w:rPr>
          <w:i/>
          <w:lang w:val="x-none"/>
        </w:rPr>
        <w:tab/>
      </w:r>
      <w:proofErr w:type="spellStart"/>
      <w:r w:rsidR="002839ED">
        <w:rPr>
          <w:lang w:val="en-US"/>
        </w:rPr>
        <w:t>Shafaq</w:t>
      </w:r>
      <w:proofErr w:type="spellEnd"/>
      <w:r w:rsidR="002839ED">
        <w:rPr>
          <w:lang w:val="en-US"/>
        </w:rPr>
        <w:t xml:space="preserve"> </w:t>
      </w:r>
      <w:proofErr w:type="spellStart"/>
      <w:r w:rsidR="00FB6EB4" w:rsidRPr="00FB6EB4">
        <w:rPr>
          <w:lang w:val="en-US"/>
        </w:rPr>
        <w:t>Ba</w:t>
      </w:r>
      <w:r w:rsidR="002839ED">
        <w:rPr>
          <w:lang w:val="en-US"/>
        </w:rPr>
        <w:t>haruddin</w:t>
      </w:r>
      <w:proofErr w:type="spellEnd"/>
      <w:r w:rsidR="002839ED">
        <w:rPr>
          <w:lang w:val="en-US"/>
        </w:rPr>
        <w:t xml:space="preserve"> </w:t>
      </w:r>
      <w:r w:rsidR="00FA222B" w:rsidRPr="00667AF3">
        <w:rPr>
          <w:lang w:val="x-none"/>
        </w:rPr>
        <w:t xml:space="preserve">(represented by </w:t>
      </w:r>
      <w:r w:rsidR="0040053E">
        <w:rPr>
          <w:lang w:val="en-US"/>
        </w:rPr>
        <w:t xml:space="preserve">Ms. </w:t>
      </w:r>
      <w:proofErr w:type="spellStart"/>
      <w:r w:rsidR="0040053E">
        <w:rPr>
          <w:lang w:val="en-US"/>
        </w:rPr>
        <w:t>Barcza-Szab</w:t>
      </w:r>
      <w:proofErr w:type="spellEnd"/>
      <w:r w:rsidR="0040053E">
        <w:rPr>
          <w:lang w:val="cs-CZ"/>
        </w:rPr>
        <w:t xml:space="preserve">ó Zita Borbála, </w:t>
      </w:r>
      <w:r w:rsidR="002839ED">
        <w:rPr>
          <w:lang w:val="en-US"/>
        </w:rPr>
        <w:t>Hungarian Helsinki Committee</w:t>
      </w:r>
      <w:r w:rsidR="000D1381" w:rsidRPr="00667AF3">
        <w:rPr>
          <w:lang w:val="en-US"/>
        </w:rPr>
        <w:t>)</w:t>
      </w:r>
      <w:r w:rsidR="000D1381">
        <w:rPr>
          <w:lang w:val="en-US"/>
        </w:rPr>
        <w:t xml:space="preserve"> </w:t>
      </w:r>
    </w:p>
    <w:p w14:paraId="44DD7B7B" w14:textId="1809A735" w:rsidR="00FA222B" w:rsidRPr="00895FA2" w:rsidRDefault="00FA222B" w:rsidP="007F5E52">
      <w:pPr>
        <w:pStyle w:val="SingleTxtG"/>
        <w:ind w:left="4536" w:hanging="3402"/>
        <w:jc w:val="left"/>
        <w:rPr>
          <w:i/>
          <w:lang w:val="en-US"/>
        </w:rPr>
      </w:pPr>
      <w:r w:rsidRPr="00214E11">
        <w:rPr>
          <w:i/>
          <w:lang w:val="x-none"/>
        </w:rPr>
        <w:t>Alleged victim:</w:t>
      </w:r>
      <w:r w:rsidRPr="00214E11">
        <w:rPr>
          <w:i/>
          <w:lang w:val="x-none"/>
        </w:rPr>
        <w:tab/>
      </w:r>
      <w:r w:rsidRPr="00214E11">
        <w:rPr>
          <w:lang w:val="x-none"/>
        </w:rPr>
        <w:t>The author</w:t>
      </w:r>
      <w:r w:rsidR="00364996">
        <w:rPr>
          <w:lang w:val="en-US"/>
        </w:rPr>
        <w:t xml:space="preserve"> </w:t>
      </w:r>
    </w:p>
    <w:p w14:paraId="7FD6E9BB" w14:textId="78658C8B" w:rsidR="00FA222B" w:rsidRPr="00214E11" w:rsidRDefault="00FA222B" w:rsidP="007F5E52">
      <w:pPr>
        <w:pStyle w:val="SingleTxtG"/>
        <w:ind w:left="4536" w:hanging="3402"/>
        <w:jc w:val="left"/>
        <w:rPr>
          <w:i/>
          <w:lang w:val="x-none"/>
        </w:rPr>
      </w:pPr>
      <w:r w:rsidRPr="00214E11">
        <w:rPr>
          <w:i/>
          <w:lang w:val="x-none"/>
        </w:rPr>
        <w:t>State party:</w:t>
      </w:r>
      <w:r w:rsidRPr="00214E11">
        <w:rPr>
          <w:i/>
          <w:lang w:val="x-none"/>
        </w:rPr>
        <w:tab/>
      </w:r>
      <w:r w:rsidR="009704FD">
        <w:rPr>
          <w:lang w:val="en-US"/>
        </w:rPr>
        <w:t>Hungary</w:t>
      </w:r>
    </w:p>
    <w:p w14:paraId="72D1B925" w14:textId="167B8370" w:rsidR="00FA222B" w:rsidRPr="00214E11" w:rsidRDefault="00FA222B" w:rsidP="007F5E52">
      <w:pPr>
        <w:pStyle w:val="SingleTxtG"/>
        <w:ind w:left="4536" w:hanging="3402"/>
        <w:jc w:val="left"/>
        <w:rPr>
          <w:i/>
        </w:rPr>
      </w:pPr>
      <w:r w:rsidRPr="00214E11">
        <w:rPr>
          <w:i/>
          <w:lang w:val="x-none"/>
        </w:rPr>
        <w:t>Date of communication:</w:t>
      </w:r>
      <w:r w:rsidRPr="00214E11">
        <w:rPr>
          <w:i/>
          <w:lang w:val="x-none"/>
        </w:rPr>
        <w:tab/>
      </w:r>
      <w:r w:rsidR="00790CDD">
        <w:rPr>
          <w:lang w:val="en-US"/>
        </w:rPr>
        <w:t>2</w:t>
      </w:r>
      <w:r w:rsidR="002839ED">
        <w:rPr>
          <w:lang w:val="en-US"/>
        </w:rPr>
        <w:t xml:space="preserve">2 December </w:t>
      </w:r>
      <w:r w:rsidR="00C91BF6">
        <w:rPr>
          <w:lang w:val="en-US"/>
        </w:rPr>
        <w:t>201</w:t>
      </w:r>
      <w:r w:rsidR="002839ED">
        <w:rPr>
          <w:lang w:val="en-US"/>
        </w:rPr>
        <w:t>6</w:t>
      </w:r>
      <w:r w:rsidR="005148E1" w:rsidRPr="00214E11">
        <w:rPr>
          <w:lang w:val="x-none"/>
        </w:rPr>
        <w:t xml:space="preserve"> (initial submission)</w:t>
      </w:r>
    </w:p>
    <w:p w14:paraId="72B8B75A" w14:textId="74786E05" w:rsidR="00D06AB5" w:rsidRPr="00D06AB5" w:rsidRDefault="00FA222B" w:rsidP="00D06AB5">
      <w:pPr>
        <w:pStyle w:val="SingleTxtG"/>
        <w:ind w:left="4536" w:hanging="3402"/>
        <w:jc w:val="left"/>
        <w:rPr>
          <w:i/>
          <w:lang w:val="x-none"/>
        </w:rPr>
      </w:pPr>
      <w:r w:rsidRPr="00214E11">
        <w:rPr>
          <w:i/>
          <w:lang w:val="x-none"/>
        </w:rPr>
        <w:t>Document references:</w:t>
      </w:r>
      <w:r w:rsidRPr="00214E11">
        <w:rPr>
          <w:i/>
          <w:lang w:val="x-none"/>
        </w:rPr>
        <w:tab/>
      </w:r>
      <w:r w:rsidR="00D06AB5" w:rsidRPr="00D06AB5">
        <w:rPr>
          <w:lang w:val="en-US"/>
        </w:rPr>
        <w:t xml:space="preserve">Decision </w:t>
      </w:r>
      <w:r w:rsidR="00D06AB5" w:rsidRPr="00D06AB5">
        <w:t>taken</w:t>
      </w:r>
      <w:r w:rsidR="00D06AB5" w:rsidRPr="00D06AB5">
        <w:rPr>
          <w:lang w:val="en-US"/>
        </w:rPr>
        <w:t xml:space="preserve"> pursuant to rule</w:t>
      </w:r>
      <w:r w:rsidR="00D06AB5">
        <w:rPr>
          <w:lang w:val="en-US"/>
        </w:rPr>
        <w:t xml:space="preserve">s 92 and </w:t>
      </w:r>
      <w:r w:rsidR="00D06AB5" w:rsidRPr="00D06AB5">
        <w:rPr>
          <w:lang w:val="en-US"/>
        </w:rPr>
        <w:t>97 of the Committee’s rules of procedure</w:t>
      </w:r>
      <w:r w:rsidR="00D06AB5" w:rsidRPr="00D06AB5">
        <w:rPr>
          <w:lang w:val="x-none"/>
        </w:rPr>
        <w:t xml:space="preserve">, transmitted to the State party on </w:t>
      </w:r>
      <w:r w:rsidR="002839ED">
        <w:rPr>
          <w:lang w:val="en-US"/>
        </w:rPr>
        <w:t xml:space="preserve">23 December </w:t>
      </w:r>
      <w:r w:rsidR="00D06AB5" w:rsidRPr="00D06AB5">
        <w:rPr>
          <w:lang w:val="x-none"/>
        </w:rPr>
        <w:t>201</w:t>
      </w:r>
      <w:r w:rsidR="002839ED">
        <w:rPr>
          <w:lang w:val="en-US"/>
        </w:rPr>
        <w:t>6</w:t>
      </w:r>
      <w:r w:rsidR="00D06AB5" w:rsidRPr="00D06AB5">
        <w:rPr>
          <w:lang w:val="x-none"/>
        </w:rPr>
        <w:t xml:space="preserve"> (not issued in document form)</w:t>
      </w:r>
    </w:p>
    <w:p w14:paraId="335EDBBA" w14:textId="739EA582" w:rsidR="00FA222B" w:rsidRPr="00D06AB5" w:rsidRDefault="00FA222B" w:rsidP="00311093">
      <w:pPr>
        <w:pStyle w:val="SingleTxtG"/>
        <w:ind w:left="4536" w:hanging="3402"/>
        <w:jc w:val="left"/>
      </w:pPr>
      <w:r w:rsidRPr="00214E11">
        <w:rPr>
          <w:i/>
          <w:lang w:val="x-none"/>
        </w:rPr>
        <w:t>Date of adoption of Views:</w:t>
      </w:r>
      <w:r w:rsidRPr="00214E11">
        <w:rPr>
          <w:i/>
          <w:lang w:val="x-none"/>
        </w:rPr>
        <w:tab/>
      </w:r>
      <w:r w:rsidR="00D825C4">
        <w:rPr>
          <w:lang w:val="en-US"/>
        </w:rPr>
        <w:t>15</w:t>
      </w:r>
      <w:r w:rsidR="00BC3DBD">
        <w:rPr>
          <w:i/>
        </w:rPr>
        <w:t xml:space="preserve"> </w:t>
      </w:r>
      <w:r w:rsidR="00BC3DBD">
        <w:rPr>
          <w:lang w:val="cs-CZ"/>
        </w:rPr>
        <w:t xml:space="preserve">March </w:t>
      </w:r>
      <w:r w:rsidR="00D06AB5" w:rsidRPr="00D06AB5">
        <w:t>201</w:t>
      </w:r>
      <w:r w:rsidR="00311093">
        <w:t>9</w:t>
      </w:r>
    </w:p>
    <w:p w14:paraId="592034ED" w14:textId="5E91DF32" w:rsidR="00BF5D8C" w:rsidRDefault="00FA222B" w:rsidP="007F5E52">
      <w:pPr>
        <w:pStyle w:val="SingleTxtG"/>
        <w:ind w:left="4536" w:hanging="3402"/>
        <w:jc w:val="left"/>
        <w:rPr>
          <w:lang w:val="en-US"/>
        </w:rPr>
      </w:pPr>
      <w:r w:rsidRPr="00214E11">
        <w:rPr>
          <w:i/>
          <w:lang w:val="x-none"/>
        </w:rPr>
        <w:t>Subject matter:</w:t>
      </w:r>
      <w:r w:rsidRPr="00214E11">
        <w:rPr>
          <w:i/>
          <w:lang w:val="x-none"/>
        </w:rPr>
        <w:tab/>
      </w:r>
      <w:r w:rsidR="00B36BBE">
        <w:rPr>
          <w:lang w:val="en-US"/>
        </w:rPr>
        <w:t>Author</w:t>
      </w:r>
      <w:r w:rsidR="00364996">
        <w:rPr>
          <w:lang w:val="en-US"/>
        </w:rPr>
        <w:t>’s</w:t>
      </w:r>
      <w:r w:rsidR="00B36BBE">
        <w:rPr>
          <w:lang w:val="en-US"/>
        </w:rPr>
        <w:t xml:space="preserve"> d</w:t>
      </w:r>
      <w:r w:rsidR="00106A6F">
        <w:rPr>
          <w:lang w:val="en-US"/>
        </w:rPr>
        <w:t xml:space="preserve">eportation </w:t>
      </w:r>
      <w:r w:rsidR="00AE46C5">
        <w:rPr>
          <w:lang w:val="en-US"/>
        </w:rPr>
        <w:t xml:space="preserve">from </w:t>
      </w:r>
      <w:r w:rsidR="002839ED">
        <w:rPr>
          <w:lang w:val="en-US"/>
        </w:rPr>
        <w:t xml:space="preserve">Hungary </w:t>
      </w:r>
      <w:r w:rsidR="00106A6F">
        <w:rPr>
          <w:lang w:val="en-US"/>
        </w:rPr>
        <w:t>to</w:t>
      </w:r>
      <w:r w:rsidR="002839ED">
        <w:rPr>
          <w:lang w:val="en-US"/>
        </w:rPr>
        <w:t xml:space="preserve"> Bulgaria</w:t>
      </w:r>
    </w:p>
    <w:p w14:paraId="439B5771" w14:textId="2840671C" w:rsidR="00FA222B" w:rsidRPr="00A90FB7" w:rsidRDefault="00FA222B" w:rsidP="007F5E52">
      <w:pPr>
        <w:pStyle w:val="SingleTxtG"/>
        <w:ind w:left="4536" w:hanging="3402"/>
        <w:jc w:val="left"/>
        <w:rPr>
          <w:lang w:val="x-none"/>
        </w:rPr>
      </w:pPr>
      <w:r w:rsidRPr="00214E11">
        <w:rPr>
          <w:i/>
          <w:lang w:val="x-none"/>
        </w:rPr>
        <w:t>Procedural issue</w:t>
      </w:r>
      <w:r w:rsidR="00FC1908">
        <w:rPr>
          <w:i/>
          <w:lang w:val="en-US"/>
        </w:rPr>
        <w:t>s</w:t>
      </w:r>
      <w:r w:rsidRPr="00214E11">
        <w:rPr>
          <w:i/>
          <w:lang w:val="x-none"/>
        </w:rPr>
        <w:t xml:space="preserve">: </w:t>
      </w:r>
      <w:r w:rsidRPr="00214E11">
        <w:rPr>
          <w:i/>
          <w:lang w:val="x-none"/>
        </w:rPr>
        <w:tab/>
      </w:r>
      <w:r w:rsidR="005465E8">
        <w:rPr>
          <w:lang w:val="en-US"/>
        </w:rPr>
        <w:t>Lack of sufficient substantiation</w:t>
      </w:r>
    </w:p>
    <w:p w14:paraId="397660BE" w14:textId="20CDFA0D" w:rsidR="00AD2438" w:rsidRDefault="00790CDD" w:rsidP="00AD2438">
      <w:pPr>
        <w:pStyle w:val="SingleTxtG"/>
        <w:ind w:left="4536" w:hanging="3402"/>
        <w:jc w:val="left"/>
      </w:pPr>
      <w:r>
        <w:rPr>
          <w:i/>
          <w:lang w:val="x-none"/>
        </w:rPr>
        <w:t>Substantive issue</w:t>
      </w:r>
      <w:r w:rsidR="00FA222B" w:rsidRPr="00C43195">
        <w:rPr>
          <w:i/>
          <w:lang w:val="x-none"/>
        </w:rPr>
        <w:t xml:space="preserve">: </w:t>
      </w:r>
      <w:r w:rsidR="00FA222B" w:rsidRPr="00C43195">
        <w:rPr>
          <w:i/>
          <w:lang w:val="x-none"/>
        </w:rPr>
        <w:tab/>
      </w:r>
      <w:r w:rsidRPr="00B422C9">
        <w:rPr>
          <w:lang w:val="en-US"/>
        </w:rPr>
        <w:t>R</w:t>
      </w:r>
      <w:r w:rsidR="00001626" w:rsidRPr="00B422C9">
        <w:rPr>
          <w:lang w:val="en-US"/>
        </w:rPr>
        <w:t xml:space="preserve">isk </w:t>
      </w:r>
      <w:r w:rsidR="00AD2438" w:rsidRPr="00B422C9">
        <w:rPr>
          <w:lang w:val="en-US"/>
        </w:rPr>
        <w:t xml:space="preserve">of </w:t>
      </w:r>
      <w:r w:rsidR="00FC1908" w:rsidRPr="00B422C9">
        <w:rPr>
          <w:lang w:val="en-US"/>
        </w:rPr>
        <w:t xml:space="preserve">torture or </w:t>
      </w:r>
      <w:r w:rsidR="0035598F" w:rsidRPr="00B422C9">
        <w:rPr>
          <w:lang w:val="en-US"/>
        </w:rPr>
        <w:t>other cruel, inhuman or degrading treatment</w:t>
      </w:r>
      <w:r>
        <w:rPr>
          <w:lang w:val="en-US"/>
        </w:rPr>
        <w:t xml:space="preserve"> </w:t>
      </w:r>
    </w:p>
    <w:p w14:paraId="30025F6A" w14:textId="7401E55F" w:rsidR="00790CDD" w:rsidRDefault="00FA222B" w:rsidP="002F4AF0">
      <w:pPr>
        <w:pStyle w:val="SingleTxtG"/>
        <w:ind w:left="4536" w:hanging="3402"/>
        <w:jc w:val="left"/>
        <w:rPr>
          <w:lang w:val="en-US"/>
        </w:rPr>
      </w:pPr>
      <w:r w:rsidRPr="00214E11">
        <w:rPr>
          <w:i/>
          <w:lang w:val="x-none"/>
        </w:rPr>
        <w:t>Article</w:t>
      </w:r>
      <w:r w:rsidR="00DE05E4">
        <w:rPr>
          <w:i/>
          <w:lang w:val="cs-CZ"/>
        </w:rPr>
        <w:t>s</w:t>
      </w:r>
      <w:r w:rsidRPr="00214E11">
        <w:rPr>
          <w:i/>
          <w:lang w:val="x-none"/>
        </w:rPr>
        <w:t xml:space="preserve"> of the Covenant:</w:t>
      </w:r>
      <w:r w:rsidRPr="00214E11">
        <w:rPr>
          <w:i/>
          <w:lang w:val="x-none"/>
        </w:rPr>
        <w:tab/>
      </w:r>
      <w:r w:rsidR="00753562">
        <w:rPr>
          <w:lang w:val="en-US"/>
        </w:rPr>
        <w:t>7</w:t>
      </w:r>
      <w:r w:rsidR="00C5114E">
        <w:rPr>
          <w:lang w:val="en-US"/>
        </w:rPr>
        <w:t xml:space="preserve"> and 2 (3) (a)</w:t>
      </w:r>
      <w:r w:rsidR="002F4AF0">
        <w:rPr>
          <w:lang w:val="en-US"/>
        </w:rPr>
        <w:t xml:space="preserve"> </w:t>
      </w:r>
    </w:p>
    <w:p w14:paraId="3F16EF7B" w14:textId="3BE61471" w:rsidR="00D55A86" w:rsidRDefault="00FA222B" w:rsidP="004553C0">
      <w:pPr>
        <w:pStyle w:val="SingleTxtG"/>
        <w:spacing w:after="240"/>
        <w:ind w:left="4536" w:hanging="3402"/>
        <w:jc w:val="left"/>
      </w:pPr>
      <w:r w:rsidRPr="00214E11">
        <w:rPr>
          <w:i/>
          <w:lang w:val="x-none"/>
        </w:rPr>
        <w:t>Article of the Optional Protocol:</w:t>
      </w:r>
      <w:r w:rsidR="003F3B71" w:rsidRPr="00214E11">
        <w:rPr>
          <w:i/>
        </w:rPr>
        <w:tab/>
      </w:r>
      <w:r w:rsidR="00A90FB7" w:rsidRPr="00A90FB7">
        <w:t>5 (2)</w:t>
      </w:r>
      <w:r w:rsidR="00A37573">
        <w:t xml:space="preserve"> </w:t>
      </w:r>
      <w:r w:rsidR="00A90FB7" w:rsidRPr="00A90FB7">
        <w:t>(a) and (b)</w:t>
      </w:r>
    </w:p>
    <w:p w14:paraId="73ECBC4E" w14:textId="7D0B705A" w:rsidR="009F7E88" w:rsidRPr="00645F5F" w:rsidRDefault="005465E8" w:rsidP="009704FD">
      <w:pPr>
        <w:pStyle w:val="SingleTxtG"/>
        <w:rPr>
          <w:b/>
        </w:rPr>
      </w:pPr>
      <w:r>
        <w:lastRenderedPageBreak/>
        <w:tab/>
      </w:r>
      <w:r w:rsidR="009704FD">
        <w:t>1.1</w:t>
      </w:r>
      <w:r w:rsidR="009704FD">
        <w:tab/>
      </w:r>
      <w:r w:rsidR="009A03F7" w:rsidRPr="00645F5F">
        <w:t>The author of the com</w:t>
      </w:r>
      <w:r w:rsidR="00032594" w:rsidRPr="00645F5F">
        <w:t xml:space="preserve">munication </w:t>
      </w:r>
      <w:r w:rsidR="009A03F7" w:rsidRPr="00645F5F">
        <w:t>dated 2</w:t>
      </w:r>
      <w:r w:rsidR="00032594" w:rsidRPr="00645F5F">
        <w:t xml:space="preserve">2 December </w:t>
      </w:r>
      <w:r w:rsidR="009A03F7" w:rsidRPr="00645F5F">
        <w:t>201</w:t>
      </w:r>
      <w:r w:rsidR="00032594" w:rsidRPr="00645F5F">
        <w:t>6</w:t>
      </w:r>
      <w:r w:rsidR="009A03F7" w:rsidRPr="00645F5F">
        <w:t>, is M</w:t>
      </w:r>
      <w:r w:rsidR="000E79CF" w:rsidRPr="00645F5F">
        <w:t>r</w:t>
      </w:r>
      <w:r w:rsidR="009A03F7" w:rsidRPr="00645F5F">
        <w:t xml:space="preserve">. </w:t>
      </w:r>
      <w:proofErr w:type="spellStart"/>
      <w:r w:rsidR="00032594" w:rsidRPr="00645F5F">
        <w:t>Shafaq</w:t>
      </w:r>
      <w:proofErr w:type="spellEnd"/>
      <w:r w:rsidR="00032594" w:rsidRPr="00645F5F">
        <w:t xml:space="preserve"> </w:t>
      </w:r>
      <w:proofErr w:type="spellStart"/>
      <w:r w:rsidR="00032594" w:rsidRPr="00645F5F">
        <w:t>Baharuddin</w:t>
      </w:r>
      <w:proofErr w:type="spellEnd"/>
      <w:r w:rsidR="009A03F7" w:rsidRPr="00645F5F">
        <w:t>,</w:t>
      </w:r>
      <w:r w:rsidR="00CA3BCF" w:rsidRPr="00645F5F">
        <w:t xml:space="preserve"> an Afghan citizen, </w:t>
      </w:r>
      <w:r w:rsidR="009A03F7" w:rsidRPr="00645F5F">
        <w:t xml:space="preserve">born on </w:t>
      </w:r>
      <w:r w:rsidR="00032594" w:rsidRPr="00645F5F">
        <w:t xml:space="preserve">30 July 1989. </w:t>
      </w:r>
      <w:r w:rsidR="00CA3BCF" w:rsidRPr="00645F5F">
        <w:t>The author sought asylum in Hungary</w:t>
      </w:r>
      <w:r w:rsidR="000E79CF" w:rsidRPr="00645F5F">
        <w:t xml:space="preserve">. </w:t>
      </w:r>
      <w:r w:rsidR="00CA3BCF" w:rsidRPr="00645F5F">
        <w:t>On 27 July 2016, the Hungarian Office of Immigration and Nationality ruled that</w:t>
      </w:r>
      <w:r w:rsidR="00927C7D" w:rsidRPr="00645F5F">
        <w:t>, under the Dublin Regulation</w:t>
      </w:r>
      <w:r w:rsidR="00D30865" w:rsidRPr="00645F5F">
        <w:rPr>
          <w:rStyle w:val="FootnoteReference"/>
          <w:bCs/>
        </w:rPr>
        <w:footnoteReference w:id="5"/>
      </w:r>
      <w:r w:rsidR="00927C7D" w:rsidRPr="00645F5F">
        <w:t xml:space="preserve">, </w:t>
      </w:r>
      <w:r w:rsidR="00CA3BCF" w:rsidRPr="00645F5F">
        <w:t>Bulgaria was responsible for processing the author’s asylum application</w:t>
      </w:r>
      <w:r w:rsidR="00F234C7" w:rsidRPr="00645F5F">
        <w:t>, in accordance with the principle of first country of asylum</w:t>
      </w:r>
      <w:r w:rsidR="00CA3BCF" w:rsidRPr="00645F5F">
        <w:t xml:space="preserve">. </w:t>
      </w:r>
      <w:r w:rsidR="003560B6" w:rsidRPr="00645F5F">
        <w:t xml:space="preserve">On 17 October 2016, the </w:t>
      </w:r>
      <w:r w:rsidR="00CA3BCF" w:rsidRPr="00645F5F">
        <w:t xml:space="preserve">Metropolitan Administrative and Labour Court </w:t>
      </w:r>
      <w:r w:rsidR="003560B6" w:rsidRPr="00645F5F">
        <w:t>confirmed the decision, which has be</w:t>
      </w:r>
      <w:r w:rsidR="00E465B6" w:rsidRPr="00645F5F">
        <w:t xml:space="preserve">come </w:t>
      </w:r>
      <w:r w:rsidR="003560B6" w:rsidRPr="00645F5F">
        <w:t>final.</w:t>
      </w:r>
      <w:r w:rsidR="002743E7">
        <w:t xml:space="preserve"> </w:t>
      </w:r>
      <w:r w:rsidR="00927C7D" w:rsidRPr="00645F5F">
        <w:t>The author has been at risk of imminent deportation since then.</w:t>
      </w:r>
      <w:r w:rsidR="00927C7D" w:rsidRPr="00645F5F">
        <w:rPr>
          <w:rStyle w:val="FootnoteReference"/>
          <w:bCs/>
        </w:rPr>
        <w:footnoteReference w:id="6"/>
      </w:r>
      <w:r w:rsidR="00927C7D" w:rsidRPr="00645F5F">
        <w:t xml:space="preserve"> </w:t>
      </w:r>
      <w:r w:rsidR="00CA3BCF" w:rsidRPr="00645F5F">
        <w:t xml:space="preserve">The author claims that </w:t>
      </w:r>
      <w:r w:rsidR="00974E31" w:rsidRPr="00645F5F">
        <w:t xml:space="preserve">his </w:t>
      </w:r>
      <w:r w:rsidR="00CA3BCF" w:rsidRPr="00645F5F">
        <w:t xml:space="preserve">deportation to Bulgaria would constitute a violation </w:t>
      </w:r>
      <w:r w:rsidR="00974E31" w:rsidRPr="00645F5F">
        <w:t xml:space="preserve">by Hungary </w:t>
      </w:r>
      <w:r w:rsidR="00CA3BCF" w:rsidRPr="00645F5F">
        <w:t>of h</w:t>
      </w:r>
      <w:r w:rsidR="00974E31" w:rsidRPr="00645F5F">
        <w:t xml:space="preserve">is </w:t>
      </w:r>
      <w:r w:rsidR="00CA3BCF" w:rsidRPr="00645F5F">
        <w:t>rights under articles 7 and 2 (3) of the International Covenant on Civil and P</w:t>
      </w:r>
      <w:r w:rsidR="00F234C7" w:rsidRPr="00645F5F">
        <w:t xml:space="preserve">olitical Rights (the Covenant). </w:t>
      </w:r>
      <w:r w:rsidR="00CA3BCF" w:rsidRPr="00645F5F">
        <w:t xml:space="preserve">The author is represented by the Hungarian Helsinki Committee (Ms. </w:t>
      </w:r>
      <w:proofErr w:type="spellStart"/>
      <w:r w:rsidR="00CA3BCF" w:rsidRPr="00645F5F">
        <w:t>Barcza-Szabó</w:t>
      </w:r>
      <w:proofErr w:type="spellEnd"/>
      <w:r w:rsidR="003560B6" w:rsidRPr="00645F5F">
        <w:t xml:space="preserve"> </w:t>
      </w:r>
      <w:proofErr w:type="spellStart"/>
      <w:r w:rsidR="00CA3BCF" w:rsidRPr="00645F5F">
        <w:t>Zita</w:t>
      </w:r>
      <w:proofErr w:type="spellEnd"/>
      <w:r w:rsidR="00CA3BCF" w:rsidRPr="00645F5F">
        <w:t xml:space="preserve"> </w:t>
      </w:r>
      <w:proofErr w:type="spellStart"/>
      <w:r w:rsidR="00CA3BCF" w:rsidRPr="00645F5F">
        <w:t>Borbála</w:t>
      </w:r>
      <w:proofErr w:type="spellEnd"/>
      <w:r w:rsidR="00CA3BCF" w:rsidRPr="00645F5F">
        <w:t>).</w:t>
      </w:r>
    </w:p>
    <w:p w14:paraId="062CD65C" w14:textId="3AE21DEA" w:rsidR="00F23CD9" w:rsidRPr="00645F5F" w:rsidRDefault="009704FD" w:rsidP="009704FD">
      <w:pPr>
        <w:pStyle w:val="SingleTxtG"/>
      </w:pPr>
      <w:r>
        <w:t>1.2</w:t>
      </w:r>
      <w:r>
        <w:tab/>
      </w:r>
      <w:r w:rsidR="009F7E88" w:rsidRPr="00645F5F">
        <w:t>On 2</w:t>
      </w:r>
      <w:r w:rsidR="0049685C" w:rsidRPr="00645F5F">
        <w:t xml:space="preserve">3 December </w:t>
      </w:r>
      <w:r w:rsidR="009F7E88" w:rsidRPr="00645F5F">
        <w:t>201</w:t>
      </w:r>
      <w:r w:rsidR="0049685C" w:rsidRPr="00645F5F">
        <w:t>6</w:t>
      </w:r>
      <w:r w:rsidR="009F7E88" w:rsidRPr="00645F5F">
        <w:t xml:space="preserve">, pursuant to rule 92 of its rules of procedure, the Committee, acting through its Special Rapporteur on new communications and interim measures, requested the State party to refrain from </w:t>
      </w:r>
      <w:r w:rsidR="0049685C" w:rsidRPr="00645F5F">
        <w:t xml:space="preserve">deporting </w:t>
      </w:r>
      <w:r w:rsidR="009F7E88" w:rsidRPr="00645F5F">
        <w:t xml:space="preserve">the author </w:t>
      </w:r>
      <w:r w:rsidR="0049685C" w:rsidRPr="00645F5F">
        <w:t xml:space="preserve">to Bulgaria, while his </w:t>
      </w:r>
      <w:r w:rsidR="009F7E88" w:rsidRPr="00645F5F">
        <w:t xml:space="preserve">case </w:t>
      </w:r>
      <w:r w:rsidR="0049685C" w:rsidRPr="00645F5F">
        <w:t xml:space="preserve">is </w:t>
      </w:r>
      <w:r w:rsidR="009F7E88" w:rsidRPr="00645F5F">
        <w:t xml:space="preserve">under </w:t>
      </w:r>
      <w:r w:rsidR="0049685C" w:rsidRPr="00645F5F">
        <w:t>consideration by the Committee.</w:t>
      </w:r>
    </w:p>
    <w:p w14:paraId="348881EA" w14:textId="35821D5A" w:rsidR="009F7E88" w:rsidRPr="00645F5F" w:rsidRDefault="009704FD" w:rsidP="009704FD">
      <w:pPr>
        <w:pStyle w:val="SingleTxtG"/>
      </w:pPr>
      <w:r>
        <w:t>1.3</w:t>
      </w:r>
      <w:r>
        <w:tab/>
      </w:r>
      <w:r w:rsidR="00F23CD9" w:rsidRPr="00645F5F">
        <w:t>On 26 April 2017, the Committee, acting through its Special Rapporteur on new communications and interim measures decided, in accordance with rule 97, paragraph 3, of its rules of procedure, to examine the admissibility of the communication together with its merits.</w:t>
      </w:r>
      <w:r w:rsidR="00F23CD9" w:rsidRPr="00645F5F">
        <w:rPr>
          <w:rStyle w:val="FootnoteReference"/>
        </w:rPr>
        <w:footnoteReference w:id="7"/>
      </w:r>
    </w:p>
    <w:p w14:paraId="473E5372" w14:textId="7DAAB843" w:rsidR="00BE74EC" w:rsidRPr="00645F5F" w:rsidRDefault="002573B0" w:rsidP="002573B0">
      <w:pPr>
        <w:pStyle w:val="H23G"/>
      </w:pPr>
      <w:r>
        <w:tab/>
      </w:r>
      <w:r>
        <w:tab/>
      </w:r>
      <w:r w:rsidR="004014E3" w:rsidRPr="00645F5F">
        <w:t>The f</w:t>
      </w:r>
      <w:r w:rsidR="00BE74EC" w:rsidRPr="00645F5F">
        <w:t xml:space="preserve">acts as presented by the author </w:t>
      </w:r>
    </w:p>
    <w:p w14:paraId="072022B7" w14:textId="19171294" w:rsidR="00BE74EC" w:rsidRPr="00645F5F" w:rsidRDefault="00BE74EC" w:rsidP="00F16A30">
      <w:pPr>
        <w:spacing w:after="120"/>
        <w:ind w:left="1134" w:right="1134"/>
        <w:jc w:val="both"/>
      </w:pPr>
      <w:r w:rsidRPr="00645F5F">
        <w:t>2.1</w:t>
      </w:r>
      <w:r w:rsidRPr="00645F5F">
        <w:tab/>
        <w:t xml:space="preserve">The author is </w:t>
      </w:r>
      <w:r w:rsidR="00BF1070">
        <w:t xml:space="preserve">an Afghan Sunnite Muslim </w:t>
      </w:r>
      <w:r w:rsidRPr="00645F5F">
        <w:t xml:space="preserve">from </w:t>
      </w:r>
      <w:proofErr w:type="spellStart"/>
      <w:r w:rsidRPr="00645F5F">
        <w:t>Kapisa</w:t>
      </w:r>
      <w:proofErr w:type="spellEnd"/>
      <w:r w:rsidRPr="00645F5F">
        <w:t>, Afghanistan</w:t>
      </w:r>
      <w:r w:rsidR="00E303A1" w:rsidRPr="00645F5F">
        <w:t xml:space="preserve">, </w:t>
      </w:r>
      <w:r w:rsidRPr="00645F5F">
        <w:t>where he was working as a police officer</w:t>
      </w:r>
      <w:r w:rsidR="001151FE" w:rsidRPr="00645F5F">
        <w:t xml:space="preserve"> in </w:t>
      </w:r>
      <w:proofErr w:type="spellStart"/>
      <w:r w:rsidR="001151FE" w:rsidRPr="00645F5F">
        <w:t>Kapisa</w:t>
      </w:r>
      <w:proofErr w:type="spellEnd"/>
      <w:r w:rsidR="001151FE" w:rsidRPr="00645F5F">
        <w:t xml:space="preserve"> </w:t>
      </w:r>
      <w:proofErr w:type="spellStart"/>
      <w:r w:rsidR="001151FE" w:rsidRPr="00645F5F">
        <w:t>Tagow</w:t>
      </w:r>
      <w:proofErr w:type="spellEnd"/>
      <w:r w:rsidR="001151FE" w:rsidRPr="00645F5F">
        <w:t xml:space="preserve"> Police station</w:t>
      </w:r>
      <w:r w:rsidRPr="00645F5F">
        <w:t>.</w:t>
      </w:r>
      <w:r w:rsidR="00F21C41">
        <w:rPr>
          <w:rStyle w:val="FootnoteReference"/>
        </w:rPr>
        <w:footnoteReference w:id="8"/>
      </w:r>
      <w:r w:rsidRPr="00645F5F">
        <w:t xml:space="preserve"> The Taliban wanted him to join them or spy for them. After the author refused to join the Taliban</w:t>
      </w:r>
      <w:r w:rsidR="00F16A30" w:rsidRPr="00645F5F">
        <w:t xml:space="preserve">, </w:t>
      </w:r>
      <w:r w:rsidRPr="00645F5F">
        <w:t xml:space="preserve">he and his family received </w:t>
      </w:r>
      <w:r w:rsidR="001151FE" w:rsidRPr="00645F5F">
        <w:t xml:space="preserve">life </w:t>
      </w:r>
      <w:r w:rsidRPr="00645F5F">
        <w:t>threat</w:t>
      </w:r>
      <w:r w:rsidR="001151FE" w:rsidRPr="00645F5F">
        <w:t xml:space="preserve">ening letters </w:t>
      </w:r>
      <w:r w:rsidRPr="00645F5F">
        <w:t xml:space="preserve">from one of the Taliban leaders. After this, the Taliban carried out a suicide bombing at the police station where the author worked. The author was not at the police station at the time but several of his colleagues died. </w:t>
      </w:r>
      <w:r w:rsidR="001151FE" w:rsidRPr="00645F5F">
        <w:t>T</w:t>
      </w:r>
      <w:r w:rsidRPr="00645F5F">
        <w:t>he author fled Afghanistan</w:t>
      </w:r>
      <w:r w:rsidR="001151FE" w:rsidRPr="00645F5F">
        <w:t xml:space="preserve"> in February 2016 in fear of repeated attacks against him</w:t>
      </w:r>
      <w:r w:rsidRPr="00645F5F">
        <w:t>.</w:t>
      </w:r>
      <w:r w:rsidR="002743E7">
        <w:t xml:space="preserve"> </w:t>
      </w:r>
    </w:p>
    <w:p w14:paraId="76E08498" w14:textId="79A7BC3D" w:rsidR="00BE74EC" w:rsidRPr="00645F5F" w:rsidRDefault="00BE74EC" w:rsidP="00F16A30">
      <w:pPr>
        <w:spacing w:after="120"/>
        <w:ind w:left="1134" w:right="1134"/>
        <w:jc w:val="both"/>
      </w:pPr>
      <w:r w:rsidRPr="00645F5F">
        <w:t>2.2</w:t>
      </w:r>
      <w:r w:rsidRPr="00645F5F">
        <w:tab/>
        <w:t xml:space="preserve">On 20 April 2016, he </w:t>
      </w:r>
      <w:r w:rsidR="00BF1070">
        <w:t xml:space="preserve">illegally </w:t>
      </w:r>
      <w:r w:rsidRPr="00645F5F">
        <w:t xml:space="preserve">entered Bulgaria </w:t>
      </w:r>
      <w:r w:rsidR="001151FE" w:rsidRPr="00645F5F">
        <w:t xml:space="preserve">on foot </w:t>
      </w:r>
      <w:r w:rsidRPr="00645F5F">
        <w:t xml:space="preserve">with a group of around 20 persons. He was apprehended by </w:t>
      </w:r>
      <w:r w:rsidR="008810E4">
        <w:t xml:space="preserve">the </w:t>
      </w:r>
      <w:r w:rsidRPr="00645F5F">
        <w:t>Bulgarian police and severely beaten</w:t>
      </w:r>
      <w:r w:rsidR="001151FE" w:rsidRPr="00645F5F">
        <w:t xml:space="preserve"> by truncheons</w:t>
      </w:r>
      <w:r w:rsidRPr="00645F5F">
        <w:t>. His valuable belongings and passport w</w:t>
      </w:r>
      <w:r w:rsidR="001151FE" w:rsidRPr="00645F5F">
        <w:t xml:space="preserve">ere </w:t>
      </w:r>
      <w:r w:rsidR="00E303A1" w:rsidRPr="00645F5F">
        <w:t xml:space="preserve">seized </w:t>
      </w:r>
      <w:r w:rsidRPr="00645F5F">
        <w:t xml:space="preserve">by the police. He was taken to a police station </w:t>
      </w:r>
      <w:r w:rsidR="001151FE" w:rsidRPr="00645F5F">
        <w:t xml:space="preserve">where the Police registered </w:t>
      </w:r>
      <w:r w:rsidRPr="00645F5F">
        <w:t>his fingerprints</w:t>
      </w:r>
      <w:r w:rsidR="001151FE" w:rsidRPr="00645F5F">
        <w:t>. He did not apply for asylum at that point.</w:t>
      </w:r>
      <w:r w:rsidR="002743E7">
        <w:t xml:space="preserve"> </w:t>
      </w:r>
    </w:p>
    <w:p w14:paraId="1E4BAB50" w14:textId="464F9F13" w:rsidR="00BE74EC" w:rsidRPr="00645F5F" w:rsidRDefault="00BE74EC" w:rsidP="00F16A30">
      <w:pPr>
        <w:spacing w:after="120"/>
        <w:ind w:left="1134" w:right="1134"/>
        <w:jc w:val="both"/>
      </w:pPr>
      <w:r w:rsidRPr="00645F5F">
        <w:t>2.3</w:t>
      </w:r>
      <w:r w:rsidRPr="00645F5F">
        <w:tab/>
      </w:r>
      <w:r w:rsidR="001151FE" w:rsidRPr="00645F5F">
        <w:t xml:space="preserve">Subsequently, the </w:t>
      </w:r>
      <w:r w:rsidRPr="00645F5F">
        <w:t xml:space="preserve">author was taken to the </w:t>
      </w:r>
      <w:proofErr w:type="spellStart"/>
      <w:r w:rsidRPr="00645F5F">
        <w:t>Elhovo</w:t>
      </w:r>
      <w:proofErr w:type="spellEnd"/>
      <w:r w:rsidRPr="00645F5F">
        <w:t xml:space="preserve"> allocation centre, where he was kept for a week. The author claims that </w:t>
      </w:r>
      <w:r w:rsidR="001151FE" w:rsidRPr="00645F5F">
        <w:t xml:space="preserve">the camp seemed to be a prison since </w:t>
      </w:r>
      <w:r w:rsidRPr="00645F5F">
        <w:t>he and other asylum seekers were placed to</w:t>
      </w:r>
      <w:r w:rsidR="002432B0" w:rsidRPr="00645F5F">
        <w:t xml:space="preserve">gether with convicted prisoners. He </w:t>
      </w:r>
      <w:r w:rsidRPr="00645F5F">
        <w:t>was also subjected to severe ill</w:t>
      </w:r>
      <w:r w:rsidR="00F16A30" w:rsidRPr="00645F5F">
        <w:t>-</w:t>
      </w:r>
      <w:r w:rsidR="00653135">
        <w:t>treatment</w:t>
      </w:r>
      <w:r w:rsidRPr="00645F5F">
        <w:t xml:space="preserve">. </w:t>
      </w:r>
      <w:r w:rsidR="002432B0" w:rsidRPr="00645F5F">
        <w:t xml:space="preserve">The beds were not, for example, equipped with matrasses. </w:t>
      </w:r>
      <w:r w:rsidRPr="00645F5F">
        <w:t xml:space="preserve">He claims that the police treated him with excessive force and brutality, kicking him and shouting at him. </w:t>
      </w:r>
      <w:r w:rsidR="002432B0" w:rsidRPr="00645F5F">
        <w:t xml:space="preserve">The guards usually consumed alcohol. During the week, the author was only able to shower once. Medical </w:t>
      </w:r>
      <w:r w:rsidRPr="00645F5F">
        <w:t xml:space="preserve">services </w:t>
      </w:r>
      <w:r w:rsidR="002432B0" w:rsidRPr="00645F5F">
        <w:t xml:space="preserve">were not </w:t>
      </w:r>
      <w:r w:rsidRPr="00645F5F">
        <w:t>available</w:t>
      </w:r>
      <w:r w:rsidR="002432B0" w:rsidRPr="00645F5F">
        <w:t xml:space="preserve"> at all</w:t>
      </w:r>
      <w:r w:rsidRPr="00645F5F">
        <w:t>.</w:t>
      </w:r>
    </w:p>
    <w:p w14:paraId="57F7EBB6" w14:textId="37CCA18A" w:rsidR="00BE74EC" w:rsidRPr="00645F5F" w:rsidRDefault="00BE74EC" w:rsidP="00F16A30">
      <w:pPr>
        <w:spacing w:after="120"/>
        <w:ind w:left="1134" w:right="1134"/>
        <w:jc w:val="both"/>
      </w:pPr>
      <w:r w:rsidRPr="00645F5F">
        <w:lastRenderedPageBreak/>
        <w:t>2.4</w:t>
      </w:r>
      <w:r w:rsidRPr="00645F5F">
        <w:tab/>
        <w:t>After one week at the centre</w:t>
      </w:r>
      <w:r w:rsidR="00F16A30" w:rsidRPr="00645F5F">
        <w:t xml:space="preserve">, </w:t>
      </w:r>
      <w:r w:rsidRPr="00645F5F">
        <w:t xml:space="preserve">the author was transferred to the </w:t>
      </w:r>
      <w:proofErr w:type="spellStart"/>
      <w:r w:rsidRPr="00645F5F">
        <w:t>Voenna</w:t>
      </w:r>
      <w:proofErr w:type="spellEnd"/>
      <w:r w:rsidRPr="00645F5F">
        <w:t xml:space="preserve"> </w:t>
      </w:r>
      <w:proofErr w:type="spellStart"/>
      <w:r w:rsidRPr="00645F5F">
        <w:t>Rampa</w:t>
      </w:r>
      <w:proofErr w:type="spellEnd"/>
      <w:r w:rsidRPr="00645F5F">
        <w:t xml:space="preserve"> refugee camp. The conditions were extremely dire, the toilets did not work properly, the food was poor and there were serious sanitation problems. The author suffers from asthma but did not receive the </w:t>
      </w:r>
      <w:r w:rsidR="00F16A30" w:rsidRPr="00645F5F">
        <w:t xml:space="preserve">medication </w:t>
      </w:r>
      <w:r w:rsidRPr="00645F5F">
        <w:t>prescribed to him by the doctor at the camp. The author claims that he witnessed brutal beatings and ill-treatment of asylum seekers being returned from other EU Member States.</w:t>
      </w:r>
      <w:r w:rsidR="00D803F7" w:rsidRPr="00645F5F">
        <w:rPr>
          <w:rStyle w:val="FootnoteReference"/>
        </w:rPr>
        <w:footnoteReference w:id="9"/>
      </w:r>
    </w:p>
    <w:p w14:paraId="343F8B88" w14:textId="37541AC8" w:rsidR="00B422C9" w:rsidRPr="00645F5F" w:rsidRDefault="00BE74EC" w:rsidP="00B422C9">
      <w:pPr>
        <w:spacing w:after="120"/>
        <w:ind w:left="1134" w:right="1134"/>
        <w:jc w:val="both"/>
      </w:pPr>
      <w:r w:rsidRPr="00645F5F">
        <w:t>2.5</w:t>
      </w:r>
      <w:r w:rsidRPr="00645F5F">
        <w:tab/>
        <w:t xml:space="preserve">Because of the dire conditions at the refugee camp, the author left </w:t>
      </w:r>
      <w:r w:rsidR="004109E4" w:rsidRPr="00645F5F">
        <w:t xml:space="preserve">the camp on 19 May 2016 and crossed the border to Serbia. On 26 May 2016, he entered Hungary and </w:t>
      </w:r>
      <w:r w:rsidRPr="00645F5F">
        <w:t>applied for asylum</w:t>
      </w:r>
      <w:r w:rsidR="0015213C" w:rsidRPr="00645F5F">
        <w:t xml:space="preserve"> on 28 May 2016</w:t>
      </w:r>
      <w:r w:rsidR="00B422C9" w:rsidRPr="00645F5F">
        <w:t xml:space="preserve">. The author was heard by the </w:t>
      </w:r>
      <w:r w:rsidR="00E303A1" w:rsidRPr="00645F5F">
        <w:t>Office of Immigration and Nationality (</w:t>
      </w:r>
      <w:r w:rsidR="00B422C9" w:rsidRPr="00645F5F">
        <w:t>OIN</w:t>
      </w:r>
      <w:r w:rsidR="00E303A1" w:rsidRPr="00645F5F">
        <w:t>)</w:t>
      </w:r>
      <w:r w:rsidR="00B422C9" w:rsidRPr="00645F5F">
        <w:t xml:space="preserve"> on the same date, stating that he entered the EU through Bulgaria. Accordingly, the OIN requested Bulgaria to accept its responsibility under the Dublin III Regulation (art. 18 (1) (b)). The author only had one short interview before the above decision was delivered, during which he was not asked any question in relation to Bulgaria, and was not given any opportunity to react to the potential applicability of the Dublin III Regulation in his case. The author challenged the decision but did not have le</w:t>
      </w:r>
      <w:r w:rsidR="002573B0">
        <w:t>gal assistance in doing so.</w:t>
      </w:r>
    </w:p>
    <w:p w14:paraId="07AA0A1A" w14:textId="32ED67AC" w:rsidR="00B422C9" w:rsidRPr="00645F5F" w:rsidRDefault="00B422C9" w:rsidP="00B422C9">
      <w:pPr>
        <w:spacing w:after="120"/>
        <w:ind w:left="1134" w:right="1134"/>
        <w:jc w:val="both"/>
      </w:pPr>
      <w:r w:rsidRPr="00645F5F">
        <w:t>2.6</w:t>
      </w:r>
      <w:r w:rsidRPr="00645F5F">
        <w:tab/>
        <w:t xml:space="preserve">The author has family in Budapest, two aunts having refugee status, an uncle and his wife both having subsidiary protection, and 15 cousins. Three of his cousins were already granted Hungarian citizenship. He is currently staying with family in Budapest. Having received the Metropolitan </w:t>
      </w:r>
      <w:r w:rsidR="00295CE4" w:rsidRPr="00645F5F">
        <w:t xml:space="preserve">Labour and Administrative </w:t>
      </w:r>
      <w:r w:rsidRPr="00645F5F">
        <w:t>Court’s decision</w:t>
      </w:r>
      <w:r w:rsidR="008810E4">
        <w:t xml:space="preserve"> of 17 October 2016</w:t>
      </w:r>
      <w:r w:rsidRPr="00645F5F">
        <w:t>, the author sought treatment at the Cordelia Foundation for the Rehabilitation of Torture Victims in Budapest. On 11 November 2016, a psychiatrist at the Foundation issued a medical opinion regarding the author’s health status.</w:t>
      </w:r>
      <w:r w:rsidRPr="00645F5F">
        <w:rPr>
          <w:vertAlign w:val="superscript"/>
        </w:rPr>
        <w:footnoteReference w:id="10"/>
      </w:r>
      <w:r w:rsidRPr="00645F5F">
        <w:t xml:space="preserve"> According to the medical certificate, the author suffers from Post-Traumatic Stress Disorder (PTSD) and panic disorder, with attacks of fear and anxiety. It also indicates that </w:t>
      </w:r>
      <w:r w:rsidR="00F80B95">
        <w:t>the author has no psychotic symptoms</w:t>
      </w:r>
      <w:r w:rsidR="0061342F">
        <w:t xml:space="preserve">, although </w:t>
      </w:r>
      <w:r w:rsidR="00F80B95">
        <w:t xml:space="preserve">he suffers </w:t>
      </w:r>
      <w:r w:rsidRPr="00645F5F">
        <w:t>from flashbacks.</w:t>
      </w:r>
      <w:r w:rsidR="0061342F">
        <w:t xml:space="preserve"> According </w:t>
      </w:r>
      <w:r w:rsidRPr="00645F5F">
        <w:t xml:space="preserve">to the certificate, the author needs regular medical and psychotherapeutic treatment. It confirms that the author’s sense of security is strengthened by staying with his relatives in Hungary. The author is currently receiving regular therapy from the Foundation. According to his psychiatrist, the author needs continuous therapy and stable support from his family. </w:t>
      </w:r>
    </w:p>
    <w:p w14:paraId="051B265A" w14:textId="30AB4D28" w:rsidR="00B422C9" w:rsidRPr="00645F5F" w:rsidRDefault="00B422C9" w:rsidP="00B422C9">
      <w:pPr>
        <w:spacing w:after="120"/>
        <w:ind w:left="1134" w:right="1134"/>
        <w:jc w:val="both"/>
      </w:pPr>
      <w:r w:rsidRPr="00645F5F">
        <w:t>2.7</w:t>
      </w:r>
      <w:r w:rsidRPr="00645F5F">
        <w:tab/>
        <w:t xml:space="preserve">On 17 October 2016, the Metropolitan Labour and Administrative Court confirmed the OIN decision. Since there is no further legal remedy against the decisions of the Metropolitan Court in asylum judicial review procedures (section 53(5) of the Asylum Act), the author claims to have exhausted all domestic remedies. The author did not submit the same matter for examination under another procedure of international investigation or settlement. </w:t>
      </w:r>
    </w:p>
    <w:p w14:paraId="56124FDB" w14:textId="13968A0A" w:rsidR="004014E3" w:rsidRPr="00645F5F" w:rsidRDefault="00014BC3" w:rsidP="004014E3">
      <w:pPr>
        <w:pStyle w:val="H23G"/>
        <w:ind w:left="0" w:firstLine="0"/>
      </w:pPr>
      <w:r w:rsidRPr="00645F5F">
        <w:tab/>
      </w:r>
      <w:r w:rsidRPr="00645F5F">
        <w:tab/>
      </w:r>
      <w:r w:rsidR="00FA222B" w:rsidRPr="00645F5F">
        <w:t>The complaint</w:t>
      </w:r>
    </w:p>
    <w:p w14:paraId="2DFDF972" w14:textId="114BF48B" w:rsidR="00043D67" w:rsidRPr="00645F5F" w:rsidRDefault="002573B0" w:rsidP="00043D67">
      <w:pPr>
        <w:spacing w:after="120"/>
        <w:ind w:left="1134" w:right="1134"/>
        <w:jc w:val="both"/>
        <w:rPr>
          <w:rFonts w:eastAsia="Calibri"/>
        </w:rPr>
      </w:pPr>
      <w:r>
        <w:t>3.1</w:t>
      </w:r>
      <w:r w:rsidR="004014E3" w:rsidRPr="00645F5F">
        <w:tab/>
        <w:t xml:space="preserve">The author claims that his removal to Bulgaria would amount to a violation of his rights under article 7 of the Covenant, as he would face a real risk of irreparable harm </w:t>
      </w:r>
      <w:r w:rsidR="00F234C7" w:rsidRPr="00645F5F">
        <w:t xml:space="preserve">due to </w:t>
      </w:r>
      <w:r w:rsidR="004014E3" w:rsidRPr="00645F5F">
        <w:t>inhuman and degrading treatment there</w:t>
      </w:r>
      <w:r w:rsidR="00043D67" w:rsidRPr="00645F5F">
        <w:t xml:space="preserve">. The </w:t>
      </w:r>
      <w:r w:rsidR="00043D67" w:rsidRPr="00645F5F">
        <w:rPr>
          <w:rFonts w:eastAsia="Calibri"/>
        </w:rPr>
        <w:t>author invokes the Committee’s general comments Nos. 20 and 31</w:t>
      </w:r>
      <w:r w:rsidR="00043D67" w:rsidRPr="00645F5F">
        <w:rPr>
          <w:rFonts w:eastAsia="Calibri"/>
          <w:vertAlign w:val="superscript"/>
        </w:rPr>
        <w:footnoteReference w:id="11"/>
      </w:r>
      <w:r w:rsidR="00043D67" w:rsidRPr="00645F5F">
        <w:rPr>
          <w:rFonts w:eastAsia="Calibri"/>
        </w:rPr>
        <w:t xml:space="preserve"> to recall that States parties should not deport individuals to third countries where there are substantial grounds for believing that there is a real risk of irreparable harm, such as that contemplated by articles 6 and 7 of the Covenant. </w:t>
      </w:r>
    </w:p>
    <w:p w14:paraId="63F7DD8F" w14:textId="5629152E" w:rsidR="00343F7C" w:rsidRPr="00645F5F" w:rsidRDefault="00043D67" w:rsidP="004014E3">
      <w:pPr>
        <w:spacing w:after="120"/>
        <w:ind w:left="1134" w:right="1134"/>
        <w:jc w:val="both"/>
      </w:pPr>
      <w:r w:rsidRPr="00645F5F">
        <w:lastRenderedPageBreak/>
        <w:t>3.2</w:t>
      </w:r>
      <w:r w:rsidRPr="00645F5F">
        <w:tab/>
      </w:r>
      <w:r w:rsidR="00F234C7" w:rsidRPr="00645F5F">
        <w:t>The author claims that if returned to Bulgaria, he would</w:t>
      </w:r>
      <w:r w:rsidR="009D0F2C">
        <w:t xml:space="preserve"> in all likelihood</w:t>
      </w:r>
      <w:r w:rsidR="00F234C7" w:rsidRPr="00645F5F">
        <w:t xml:space="preserve"> be detained </w:t>
      </w:r>
      <w:r w:rsidR="00203B11" w:rsidRPr="00645F5F">
        <w:t>since Bulgaria routinely detains asylum-seekers, sometimes in combination with deliberate deprivation of food and liquids</w:t>
      </w:r>
      <w:r w:rsidR="0061342F">
        <w:t>.</w:t>
      </w:r>
      <w:r w:rsidR="0061342F" w:rsidRPr="00645F5F">
        <w:rPr>
          <w:rStyle w:val="FootnoteReference"/>
        </w:rPr>
        <w:footnoteReference w:id="12"/>
      </w:r>
      <w:r w:rsidR="0061342F" w:rsidRPr="00645F5F">
        <w:t xml:space="preserve"> </w:t>
      </w:r>
      <w:r w:rsidR="0061342F">
        <w:t xml:space="preserve">Therefore, he fears to face an irreparable harm due to a risk of </w:t>
      </w:r>
      <w:r w:rsidR="00F234C7" w:rsidRPr="00645F5F">
        <w:t>i</w:t>
      </w:r>
      <w:r w:rsidR="00566B08" w:rsidRPr="00645F5F">
        <w:t xml:space="preserve">nhuman </w:t>
      </w:r>
      <w:r w:rsidR="0061342F">
        <w:t xml:space="preserve">and </w:t>
      </w:r>
      <w:r w:rsidR="00566B08" w:rsidRPr="00645F5F">
        <w:t>degrading treatment</w:t>
      </w:r>
      <w:r w:rsidR="00566B08" w:rsidRPr="00645F5F">
        <w:rPr>
          <w:rStyle w:val="FootnoteReference"/>
        </w:rPr>
        <w:footnoteReference w:id="13"/>
      </w:r>
      <w:r w:rsidR="00566B08" w:rsidRPr="00645F5F">
        <w:t xml:space="preserve"> </w:t>
      </w:r>
      <w:r w:rsidR="001243C7" w:rsidRPr="00645F5F">
        <w:t xml:space="preserve">He </w:t>
      </w:r>
      <w:r w:rsidR="00E34F1A" w:rsidRPr="00645F5F">
        <w:t xml:space="preserve">refers to the decision of the European Court of Human Rights in </w:t>
      </w:r>
      <w:r w:rsidR="00E34F1A" w:rsidRPr="00645F5F">
        <w:rPr>
          <w:i/>
        </w:rPr>
        <w:t>M.S.S. v. Belgium and Greece</w:t>
      </w:r>
      <w:r w:rsidR="001243C7" w:rsidRPr="00645F5F">
        <w:rPr>
          <w:i/>
        </w:rPr>
        <w:t xml:space="preserve">, </w:t>
      </w:r>
      <w:r w:rsidR="00D843D2" w:rsidRPr="00645F5F">
        <w:t xml:space="preserve">though </w:t>
      </w:r>
      <w:r w:rsidR="00E34F1A" w:rsidRPr="00645F5F">
        <w:t>admitting that it is not identical to his situation,</w:t>
      </w:r>
      <w:r w:rsidR="001243C7" w:rsidRPr="00645F5F">
        <w:t xml:space="preserve"> in which the European Court </w:t>
      </w:r>
      <w:r w:rsidR="00E34F1A" w:rsidRPr="00645F5F">
        <w:t>support</w:t>
      </w:r>
      <w:r w:rsidR="001243C7" w:rsidRPr="00645F5F">
        <w:t xml:space="preserve">ed </w:t>
      </w:r>
      <w:r w:rsidR="00E34F1A" w:rsidRPr="00645F5F">
        <w:t>a finding that inappropriate reception conditions as well as serious shortcomings in asylum procedure amount to inhuman or degrading treatment.</w:t>
      </w:r>
      <w:r w:rsidR="00E34F1A" w:rsidRPr="00645F5F">
        <w:rPr>
          <w:rStyle w:val="FootnoteReference"/>
        </w:rPr>
        <w:footnoteReference w:id="14"/>
      </w:r>
      <w:r w:rsidR="00E34F1A" w:rsidRPr="00645F5F">
        <w:t xml:space="preserve"> </w:t>
      </w:r>
      <w:r w:rsidR="00D843D2" w:rsidRPr="00645F5F">
        <w:t xml:space="preserve">The </w:t>
      </w:r>
      <w:r w:rsidR="001243C7" w:rsidRPr="00645F5F">
        <w:t xml:space="preserve">author </w:t>
      </w:r>
      <w:r w:rsidR="00D843D2" w:rsidRPr="00645F5F">
        <w:t xml:space="preserve">submits </w:t>
      </w:r>
      <w:r w:rsidR="00CA0B98" w:rsidRPr="00645F5F">
        <w:t xml:space="preserve">that unacceptable sanitary conditions, ill-treatment and humiliation have been </w:t>
      </w:r>
      <w:r w:rsidR="00343F7C" w:rsidRPr="00645F5F">
        <w:t xml:space="preserve">addressed </w:t>
      </w:r>
      <w:r w:rsidR="00CA0B98" w:rsidRPr="00645F5F">
        <w:t xml:space="preserve">in the reports of </w:t>
      </w:r>
      <w:proofErr w:type="spellStart"/>
      <w:r w:rsidR="00CA0B98" w:rsidRPr="00645F5F">
        <w:t>ProAsyl</w:t>
      </w:r>
      <w:proofErr w:type="spellEnd"/>
      <w:r w:rsidR="00CA0B98" w:rsidRPr="00645F5F">
        <w:rPr>
          <w:rStyle w:val="FootnoteReference"/>
        </w:rPr>
        <w:footnoteReference w:id="15"/>
      </w:r>
      <w:r w:rsidR="00CA0B98" w:rsidRPr="00645F5F">
        <w:t xml:space="preserve"> and the Bulgarian Helsinki Committee.</w:t>
      </w:r>
      <w:r w:rsidR="001243C7" w:rsidRPr="00645F5F">
        <w:t xml:space="preserve"> </w:t>
      </w:r>
      <w:r w:rsidR="00125168" w:rsidRPr="00645F5F">
        <w:t xml:space="preserve">He </w:t>
      </w:r>
      <w:r w:rsidR="00343F7C" w:rsidRPr="00645F5F">
        <w:t xml:space="preserve">claims </w:t>
      </w:r>
      <w:r w:rsidR="00125168" w:rsidRPr="00645F5F">
        <w:t xml:space="preserve">that as an asylum-seeker, who is returned to Bulgaria under the Dublin Regulation, he is likely to have had his </w:t>
      </w:r>
      <w:r w:rsidR="0061342F">
        <w:t xml:space="preserve">asylum procedure in </w:t>
      </w:r>
      <w:r w:rsidR="00125168" w:rsidRPr="00645F5F">
        <w:t>Bulgaria</w:t>
      </w:r>
      <w:r w:rsidR="0061342F">
        <w:t xml:space="preserve"> </w:t>
      </w:r>
      <w:r w:rsidR="00125168" w:rsidRPr="00645F5F">
        <w:t>terminated since in some cases, negative decisions have been taken in absentia.</w:t>
      </w:r>
      <w:r w:rsidR="00343F7C" w:rsidRPr="00645F5F">
        <w:rPr>
          <w:rStyle w:val="FootnoteReference"/>
        </w:rPr>
        <w:footnoteReference w:id="16"/>
      </w:r>
      <w:r w:rsidR="00125168" w:rsidRPr="00645F5F">
        <w:t xml:space="preserve"> </w:t>
      </w:r>
    </w:p>
    <w:p w14:paraId="178E61EC" w14:textId="1921D356" w:rsidR="004014E3" w:rsidRPr="00645F5F" w:rsidRDefault="00343F7C" w:rsidP="004014E3">
      <w:pPr>
        <w:spacing w:after="120"/>
        <w:ind w:left="1134" w:right="1134"/>
        <w:jc w:val="both"/>
      </w:pPr>
      <w:r w:rsidRPr="00645F5F">
        <w:t>3.</w:t>
      </w:r>
      <w:r w:rsidR="00043D67" w:rsidRPr="00645F5F">
        <w:t>3</w:t>
      </w:r>
      <w:r w:rsidRPr="00645F5F">
        <w:tab/>
      </w:r>
      <w:r w:rsidR="00125168" w:rsidRPr="00645F5F">
        <w:t xml:space="preserve">In </w:t>
      </w:r>
      <w:r w:rsidRPr="00645F5F">
        <w:t xml:space="preserve">those circumstances, he fears to be </w:t>
      </w:r>
      <w:r w:rsidR="00125168" w:rsidRPr="00645F5F">
        <w:t>transferred to one of the detention facilities, such a</w:t>
      </w:r>
      <w:r w:rsidRPr="00645F5F">
        <w:t xml:space="preserve">s </w:t>
      </w:r>
      <w:proofErr w:type="spellStart"/>
      <w:r w:rsidRPr="00645F5F">
        <w:t>Busmantsi</w:t>
      </w:r>
      <w:proofErr w:type="spellEnd"/>
      <w:r w:rsidRPr="00645F5F">
        <w:t xml:space="preserve"> or </w:t>
      </w:r>
      <w:proofErr w:type="spellStart"/>
      <w:r w:rsidRPr="00645F5F">
        <w:t>Lyubimets</w:t>
      </w:r>
      <w:proofErr w:type="spellEnd"/>
      <w:r w:rsidRPr="00645F5F">
        <w:t xml:space="preserve">. Even if he were not detained, </w:t>
      </w:r>
      <w:r w:rsidR="00125168" w:rsidRPr="00645F5F">
        <w:t>the Dublin returnee</w:t>
      </w:r>
      <w:r w:rsidR="00A70E44" w:rsidRPr="00645F5F">
        <w:t xml:space="preserve">s are </w:t>
      </w:r>
      <w:r w:rsidR="00125168" w:rsidRPr="00645F5F">
        <w:t xml:space="preserve">likely to be deprived of their right to accommodation as only those with visible vulnerabilities (e.g. families with children) are provided with reception. </w:t>
      </w:r>
      <w:r w:rsidR="00F234C7" w:rsidRPr="00645F5F">
        <w:t xml:space="preserve">He claims that he would have no access to mental health care which would result in a serious deterioration of his current condition. </w:t>
      </w:r>
      <w:r w:rsidRPr="00645F5F">
        <w:t>Re</w:t>
      </w:r>
      <w:r w:rsidR="004014E3" w:rsidRPr="00645F5F">
        <w:t>fer</w:t>
      </w:r>
      <w:r w:rsidRPr="00645F5F">
        <w:t xml:space="preserve">ring </w:t>
      </w:r>
      <w:r w:rsidR="004014E3" w:rsidRPr="00645F5F">
        <w:t xml:space="preserve">to extensive background information on Bulgaria, the author </w:t>
      </w:r>
      <w:r w:rsidR="00166AA8" w:rsidRPr="00645F5F">
        <w:t xml:space="preserve">further </w:t>
      </w:r>
      <w:r w:rsidR="00F234C7" w:rsidRPr="00645F5F">
        <w:t xml:space="preserve">submits </w:t>
      </w:r>
      <w:r w:rsidR="004014E3" w:rsidRPr="00645F5F">
        <w:t>that there is no access to mental health services and no identification procedure for vulnerable asylum seekers</w:t>
      </w:r>
      <w:r w:rsidR="00F234C7" w:rsidRPr="00645F5F">
        <w:t xml:space="preserve">, </w:t>
      </w:r>
      <w:r w:rsidR="004014E3" w:rsidRPr="00645F5F">
        <w:t xml:space="preserve">and that the Bulgarian authorities treat asylum-seekers with excessive force and brutality. </w:t>
      </w:r>
    </w:p>
    <w:p w14:paraId="13F20B74" w14:textId="62E7D82D" w:rsidR="00CB4B48" w:rsidRPr="00645F5F" w:rsidRDefault="004014E3" w:rsidP="00CB4B48">
      <w:pPr>
        <w:ind w:left="1134" w:right="1134"/>
        <w:jc w:val="both"/>
      </w:pPr>
      <w:r w:rsidRPr="00645F5F">
        <w:t>3.</w:t>
      </w:r>
      <w:r w:rsidR="00043D67" w:rsidRPr="00645F5F">
        <w:t>4</w:t>
      </w:r>
      <w:r w:rsidRPr="00645F5F">
        <w:tab/>
        <w:t>The author also claims a violation of article 2 (3)</w:t>
      </w:r>
      <w:r w:rsidR="003560B6" w:rsidRPr="00645F5F">
        <w:t xml:space="preserve"> (a)</w:t>
      </w:r>
      <w:r w:rsidR="00F234C7" w:rsidRPr="00645F5F">
        <w:t xml:space="preserve">, </w:t>
      </w:r>
      <w:r w:rsidRPr="00645F5F">
        <w:t>read in conjunction with article 7, of the Covenant, on the ground that the decision to return him to Bulgaria by the OIN and the judicial review thereof by the Metropolitan Cou</w:t>
      </w:r>
      <w:r w:rsidR="00F234C7" w:rsidRPr="00645F5F">
        <w:t xml:space="preserve">rt did not represent </w:t>
      </w:r>
      <w:r w:rsidRPr="00645F5F">
        <w:t xml:space="preserve">an effective remedy. He claims that he was heard only once, at the asylum interview, whereas he was not questioned about his relevant individual circumstances in relation to a potential transfer to Bulgaria during the proceedings before the OIN and the Metropolitan Court. He argues that the arguments given by the Hungarian authorities were purely focused on the Dublin </w:t>
      </w:r>
      <w:r w:rsidRPr="00645F5F">
        <w:lastRenderedPageBreak/>
        <w:t xml:space="preserve">Regulation and did not examine how the Bulgarian asylum system functions in practice, whether he would have access to a fair and efficient asylum procedure in Bulgaria and whether he would have access to psychological assistance. He argues that the authorities did not carry out a meaningful assessment of his claims and that he </w:t>
      </w:r>
      <w:r w:rsidR="00F234C7" w:rsidRPr="00645F5F">
        <w:t xml:space="preserve">was </w:t>
      </w:r>
      <w:r w:rsidRPr="00645F5F">
        <w:t>consequently deprived of the opportunity to exercise his right to an effective remedy.</w:t>
      </w:r>
    </w:p>
    <w:p w14:paraId="2B43DC0E" w14:textId="5BC5E43B" w:rsidR="00CB4B48" w:rsidRPr="00645F5F" w:rsidRDefault="002573B0" w:rsidP="002573B0">
      <w:pPr>
        <w:pStyle w:val="H23G"/>
      </w:pPr>
      <w:r>
        <w:tab/>
      </w:r>
      <w:r>
        <w:tab/>
      </w:r>
      <w:r w:rsidR="00CB4B48" w:rsidRPr="00645F5F">
        <w:t>State party’s</w:t>
      </w:r>
      <w:r>
        <w:t xml:space="preserve"> observations on admissibility</w:t>
      </w:r>
    </w:p>
    <w:p w14:paraId="5754D08F" w14:textId="0FA25F2B" w:rsidR="00A41756" w:rsidRPr="00645F5F" w:rsidRDefault="00966722" w:rsidP="00CB4B48">
      <w:pPr>
        <w:spacing w:after="120"/>
        <w:ind w:left="1134" w:right="1134"/>
        <w:jc w:val="both"/>
        <w:rPr>
          <w:rFonts w:eastAsia="Calibri"/>
        </w:rPr>
      </w:pPr>
      <w:r w:rsidRPr="00645F5F">
        <w:rPr>
          <w:rFonts w:eastAsia="Calibri"/>
        </w:rPr>
        <w:t>4.1</w:t>
      </w:r>
      <w:r w:rsidR="00684C83" w:rsidRPr="00645F5F">
        <w:rPr>
          <w:rFonts w:eastAsia="Calibri"/>
        </w:rPr>
        <w:tab/>
      </w:r>
      <w:r w:rsidRPr="00645F5F">
        <w:rPr>
          <w:rFonts w:eastAsia="Calibri"/>
        </w:rPr>
        <w:t xml:space="preserve">On </w:t>
      </w:r>
      <w:r w:rsidR="00CB4B48" w:rsidRPr="00645F5F">
        <w:rPr>
          <w:rFonts w:eastAsia="Calibri"/>
        </w:rPr>
        <w:t>27 February 2017, the State party submitted its observations on the admissibility of the communication</w:t>
      </w:r>
      <w:r w:rsidR="00A41756" w:rsidRPr="00645F5F">
        <w:rPr>
          <w:rFonts w:eastAsia="Calibri"/>
        </w:rPr>
        <w:t xml:space="preserve">, arguing </w:t>
      </w:r>
      <w:r w:rsidR="00CB4B48" w:rsidRPr="00645F5F">
        <w:rPr>
          <w:rFonts w:eastAsia="Calibri"/>
        </w:rPr>
        <w:t xml:space="preserve">that </w:t>
      </w:r>
      <w:r w:rsidR="00A41756" w:rsidRPr="00645F5F">
        <w:rPr>
          <w:rFonts w:eastAsia="Calibri"/>
        </w:rPr>
        <w:t xml:space="preserve">it </w:t>
      </w:r>
      <w:r w:rsidR="00CB4B48" w:rsidRPr="00645F5F">
        <w:rPr>
          <w:rFonts w:eastAsia="Calibri"/>
        </w:rPr>
        <w:t xml:space="preserve">is inadmissible due to non-substantiation of the </w:t>
      </w:r>
      <w:r w:rsidR="0015213C" w:rsidRPr="00645F5F">
        <w:rPr>
          <w:rFonts w:eastAsia="Calibri"/>
        </w:rPr>
        <w:t>author’s claims</w:t>
      </w:r>
      <w:r w:rsidR="00A41756" w:rsidRPr="00645F5F">
        <w:rPr>
          <w:rFonts w:eastAsia="Calibri"/>
        </w:rPr>
        <w:t>.</w:t>
      </w:r>
    </w:p>
    <w:p w14:paraId="09F2AF99" w14:textId="6395A058" w:rsidR="00CB4B48" w:rsidRPr="00645F5F" w:rsidRDefault="00A41756" w:rsidP="00CB4B48">
      <w:pPr>
        <w:spacing w:after="120"/>
        <w:ind w:left="1134" w:right="1134"/>
        <w:jc w:val="both"/>
        <w:rPr>
          <w:rFonts w:eastAsia="Calibri"/>
        </w:rPr>
      </w:pPr>
      <w:r w:rsidRPr="00645F5F">
        <w:rPr>
          <w:rFonts w:eastAsia="Calibri"/>
        </w:rPr>
        <w:t>4.2</w:t>
      </w:r>
      <w:r w:rsidRPr="00645F5F">
        <w:rPr>
          <w:rFonts w:eastAsia="Calibri"/>
        </w:rPr>
        <w:tab/>
      </w:r>
      <w:r w:rsidR="00CB4B48" w:rsidRPr="00645F5F">
        <w:rPr>
          <w:rFonts w:eastAsia="Calibri"/>
        </w:rPr>
        <w:t xml:space="preserve">The State party </w:t>
      </w:r>
      <w:r w:rsidR="0015213C" w:rsidRPr="00645F5F">
        <w:rPr>
          <w:rFonts w:eastAsia="Calibri"/>
        </w:rPr>
        <w:t xml:space="preserve">asserts </w:t>
      </w:r>
      <w:r w:rsidR="00CB4B48" w:rsidRPr="00645F5F">
        <w:rPr>
          <w:rFonts w:eastAsia="Calibri"/>
        </w:rPr>
        <w:t xml:space="preserve">that the author did not refer to the alleged violation of his rights during the asylum procedure but has only invoked them in the present complaint. </w:t>
      </w:r>
      <w:r w:rsidRPr="00645F5F">
        <w:rPr>
          <w:rFonts w:eastAsia="Calibri"/>
        </w:rPr>
        <w:t xml:space="preserve">It </w:t>
      </w:r>
      <w:r w:rsidR="00CB4B48" w:rsidRPr="00645F5F">
        <w:rPr>
          <w:rFonts w:eastAsia="Calibri"/>
        </w:rPr>
        <w:t>questions the genuineness of his allegations and argues that even if these were true, the author did not allow the State party</w:t>
      </w:r>
      <w:r w:rsidRPr="00645F5F">
        <w:rPr>
          <w:rFonts w:eastAsia="Calibri"/>
        </w:rPr>
        <w:t>’s</w:t>
      </w:r>
      <w:r w:rsidR="00CB4B48" w:rsidRPr="00645F5F">
        <w:rPr>
          <w:rFonts w:eastAsia="Calibri"/>
        </w:rPr>
        <w:t xml:space="preserve"> authorities to consider the claims during the domestic proceedings.</w:t>
      </w:r>
      <w:r w:rsidR="0015213C" w:rsidRPr="00645F5F">
        <w:rPr>
          <w:rFonts w:eastAsia="Calibri"/>
        </w:rPr>
        <w:t xml:space="preserve"> </w:t>
      </w:r>
      <w:r w:rsidRPr="00645F5F">
        <w:rPr>
          <w:rFonts w:eastAsia="Calibri"/>
        </w:rPr>
        <w:t xml:space="preserve">It </w:t>
      </w:r>
      <w:r w:rsidR="0015213C" w:rsidRPr="00645F5F">
        <w:rPr>
          <w:rFonts w:eastAsia="Calibri"/>
        </w:rPr>
        <w:t xml:space="preserve">therefore holds that the failure of the author cannot be attributed to </w:t>
      </w:r>
      <w:r w:rsidRPr="00645F5F">
        <w:rPr>
          <w:rFonts w:eastAsia="Calibri"/>
        </w:rPr>
        <w:t>the State party</w:t>
      </w:r>
      <w:r w:rsidR="0015213C" w:rsidRPr="00645F5F">
        <w:rPr>
          <w:rFonts w:eastAsia="Calibri"/>
        </w:rPr>
        <w:t>.</w:t>
      </w:r>
      <w:r w:rsidR="002743E7">
        <w:rPr>
          <w:rFonts w:eastAsia="Calibri"/>
        </w:rPr>
        <w:t xml:space="preserve">  </w:t>
      </w:r>
    </w:p>
    <w:p w14:paraId="3F59E4AB" w14:textId="1AD6577A" w:rsidR="00CB4B48" w:rsidRPr="00645F5F" w:rsidRDefault="00966722" w:rsidP="00966722">
      <w:pPr>
        <w:spacing w:after="120"/>
        <w:ind w:left="1134" w:right="1134"/>
        <w:jc w:val="both"/>
        <w:rPr>
          <w:rFonts w:eastAsia="Calibri"/>
        </w:rPr>
      </w:pPr>
      <w:r w:rsidRPr="00645F5F">
        <w:rPr>
          <w:rFonts w:eastAsia="Calibri"/>
        </w:rPr>
        <w:t>4.</w:t>
      </w:r>
      <w:r w:rsidR="00A41756" w:rsidRPr="00645F5F">
        <w:rPr>
          <w:rFonts w:eastAsia="Calibri"/>
        </w:rPr>
        <w:t>3</w:t>
      </w:r>
      <w:r w:rsidR="00684C83" w:rsidRPr="00645F5F">
        <w:rPr>
          <w:rFonts w:eastAsia="Calibri"/>
        </w:rPr>
        <w:tab/>
      </w:r>
      <w:r w:rsidR="00573D03" w:rsidRPr="00645F5F">
        <w:rPr>
          <w:rFonts w:eastAsia="Calibri"/>
        </w:rPr>
        <w:t xml:space="preserve">The State party notes that the author was interviewed </w:t>
      </w:r>
      <w:r w:rsidR="0015213C" w:rsidRPr="00645F5F">
        <w:rPr>
          <w:rFonts w:eastAsia="Calibri"/>
        </w:rPr>
        <w:t xml:space="preserve">on 28 May 2016 </w:t>
      </w:r>
      <w:r w:rsidR="00573D03" w:rsidRPr="00645F5F">
        <w:rPr>
          <w:rFonts w:eastAsia="Calibri"/>
        </w:rPr>
        <w:t>with the assistance of a Dari interpreter</w:t>
      </w:r>
      <w:r w:rsidR="0015213C" w:rsidRPr="00645F5F">
        <w:rPr>
          <w:rFonts w:eastAsia="Calibri"/>
        </w:rPr>
        <w:t>. The author’s photo and fingerprints were recorded</w:t>
      </w:r>
      <w:r w:rsidR="00573D03" w:rsidRPr="00645F5F">
        <w:rPr>
          <w:rFonts w:eastAsia="Calibri"/>
        </w:rPr>
        <w:t xml:space="preserve"> and he was informed about his procedural rights and obligations</w:t>
      </w:r>
      <w:r w:rsidR="0015213C" w:rsidRPr="00645F5F">
        <w:rPr>
          <w:rFonts w:eastAsia="Calibri"/>
        </w:rPr>
        <w:t>, and was explained the information provided in the information sheet on the asylum procedure</w:t>
      </w:r>
      <w:r w:rsidR="00573D03" w:rsidRPr="00645F5F">
        <w:rPr>
          <w:rFonts w:eastAsia="Calibri"/>
        </w:rPr>
        <w:t xml:space="preserve">. </w:t>
      </w:r>
      <w:r w:rsidR="0015213C" w:rsidRPr="00645F5F">
        <w:rPr>
          <w:rFonts w:eastAsia="Calibri"/>
        </w:rPr>
        <w:t xml:space="preserve">The author understood and took note of the above-mentioned. </w:t>
      </w:r>
      <w:r w:rsidR="00573D03" w:rsidRPr="00645F5F">
        <w:rPr>
          <w:rFonts w:eastAsia="Calibri"/>
        </w:rPr>
        <w:t>Prior to the personal interview, the applicant claimed to be physically and mentally fit for the interview. During the interview</w:t>
      </w:r>
      <w:r w:rsidR="00A41756" w:rsidRPr="00645F5F">
        <w:rPr>
          <w:rFonts w:eastAsia="Calibri"/>
        </w:rPr>
        <w:t xml:space="preserve">, </w:t>
      </w:r>
      <w:r w:rsidR="00573D03" w:rsidRPr="00645F5F">
        <w:rPr>
          <w:rFonts w:eastAsia="Calibri"/>
        </w:rPr>
        <w:t xml:space="preserve">he also claimed to be healthy. Regarding the circumstances of his arrival to Hungary, the author stated that he had travelled with his brother from Afghanistan to Iran legally and continued to Turkey, where they had spent two months. They travelled to Bulgaria with the help of smugglers, where they spent one month (one week in a closed facility and three weeks in an open reception facility). However, their asylum procedure could not be conducted on the merits as they </w:t>
      </w:r>
      <w:r w:rsidR="00AF72C1" w:rsidRPr="00645F5F">
        <w:rPr>
          <w:rFonts w:eastAsia="Calibri"/>
        </w:rPr>
        <w:t xml:space="preserve">absconded </w:t>
      </w:r>
      <w:r w:rsidR="00573D03" w:rsidRPr="00645F5F">
        <w:rPr>
          <w:rFonts w:eastAsia="Calibri"/>
        </w:rPr>
        <w:t xml:space="preserve">to Serbia, </w:t>
      </w:r>
      <w:r w:rsidR="00AF72C1" w:rsidRPr="00645F5F">
        <w:rPr>
          <w:rFonts w:eastAsia="Calibri"/>
        </w:rPr>
        <w:t xml:space="preserve">where they spent 5-6 days, following which </w:t>
      </w:r>
      <w:r w:rsidR="00573D03" w:rsidRPr="00645F5F">
        <w:rPr>
          <w:rFonts w:eastAsia="Calibri"/>
        </w:rPr>
        <w:t>they travelled onwards to Hungary by bus. The author stated that their original destination was Hungary, as their aunt has been living there for fifteen years. The a</w:t>
      </w:r>
      <w:r w:rsidR="00A41756" w:rsidRPr="00645F5F">
        <w:rPr>
          <w:rFonts w:eastAsia="Calibri"/>
        </w:rPr>
        <w:t xml:space="preserve">uthor </w:t>
      </w:r>
      <w:r w:rsidR="00573D03" w:rsidRPr="00645F5F">
        <w:rPr>
          <w:rFonts w:eastAsia="Calibri"/>
        </w:rPr>
        <w:t>claimed that his profession as a police officer was the reason for his escape from Afghanistan</w:t>
      </w:r>
      <w:r w:rsidR="00AF72C1" w:rsidRPr="00645F5F">
        <w:rPr>
          <w:rFonts w:eastAsia="Calibri"/>
        </w:rPr>
        <w:t xml:space="preserve">, </w:t>
      </w:r>
      <w:r w:rsidR="00573D03" w:rsidRPr="00645F5F">
        <w:rPr>
          <w:rFonts w:eastAsia="Calibri"/>
        </w:rPr>
        <w:t>as the Taliban threatened him in order to make him join the</w:t>
      </w:r>
      <w:r w:rsidR="00AF72C1" w:rsidRPr="00645F5F">
        <w:rPr>
          <w:rFonts w:eastAsia="Calibri"/>
        </w:rPr>
        <w:t xml:space="preserve">ir forces. </w:t>
      </w:r>
      <w:r w:rsidR="00573D03" w:rsidRPr="00645F5F">
        <w:rPr>
          <w:rFonts w:eastAsia="Calibri"/>
        </w:rPr>
        <w:t xml:space="preserve">The State party claims that the minutes of the interview was read back to the author at the end of the interview and that he did not wish to amend or make any </w:t>
      </w:r>
      <w:r w:rsidR="00A41756" w:rsidRPr="00645F5F">
        <w:rPr>
          <w:rFonts w:eastAsia="Calibri"/>
        </w:rPr>
        <w:t xml:space="preserve">additions </w:t>
      </w:r>
      <w:r w:rsidR="00573D03" w:rsidRPr="00645F5F">
        <w:rPr>
          <w:rFonts w:eastAsia="Calibri"/>
        </w:rPr>
        <w:t>to the minutes, which he therefore approved.</w:t>
      </w:r>
      <w:r w:rsidR="00573D03" w:rsidRPr="00645F5F">
        <w:rPr>
          <w:rStyle w:val="FootnoteReference"/>
          <w:rFonts w:eastAsia="Calibri"/>
        </w:rPr>
        <w:footnoteReference w:id="17"/>
      </w:r>
    </w:p>
    <w:p w14:paraId="5857F433" w14:textId="69C32374" w:rsidR="00AF72C1" w:rsidRPr="00645F5F" w:rsidRDefault="005B191C" w:rsidP="00966722">
      <w:pPr>
        <w:spacing w:after="120"/>
        <w:ind w:left="1134" w:right="1134"/>
        <w:jc w:val="both"/>
        <w:rPr>
          <w:rFonts w:eastAsia="Calibri"/>
        </w:rPr>
      </w:pPr>
      <w:r w:rsidRPr="00645F5F">
        <w:rPr>
          <w:rFonts w:eastAsia="Calibri"/>
        </w:rPr>
        <w:t>4.</w:t>
      </w:r>
      <w:r w:rsidR="00A41756" w:rsidRPr="00645F5F">
        <w:rPr>
          <w:rFonts w:eastAsia="Calibri"/>
        </w:rPr>
        <w:t>4</w:t>
      </w:r>
      <w:r w:rsidRPr="00645F5F">
        <w:rPr>
          <w:rFonts w:eastAsia="Calibri"/>
        </w:rPr>
        <w:tab/>
      </w:r>
      <w:r w:rsidR="00AF72C1" w:rsidRPr="00645F5F">
        <w:rPr>
          <w:rFonts w:eastAsia="Calibri"/>
        </w:rPr>
        <w:t>Having taken the author’s fingerprints, the Immigration and Asylum Office</w:t>
      </w:r>
      <w:r w:rsidR="00C82A2C" w:rsidRPr="00645F5F">
        <w:rPr>
          <w:rStyle w:val="FootnoteReference"/>
          <w:rFonts w:eastAsia="Calibri"/>
        </w:rPr>
        <w:footnoteReference w:id="18"/>
      </w:r>
      <w:r w:rsidR="00AF72C1" w:rsidRPr="00645F5F">
        <w:rPr>
          <w:rFonts w:eastAsia="Calibri"/>
        </w:rPr>
        <w:t xml:space="preserve"> established that the </w:t>
      </w:r>
      <w:proofErr w:type="spellStart"/>
      <w:r w:rsidR="00AF72C1" w:rsidRPr="00645F5F">
        <w:rPr>
          <w:rFonts w:eastAsia="Calibri"/>
        </w:rPr>
        <w:t>Eurodac</w:t>
      </w:r>
      <w:proofErr w:type="spellEnd"/>
      <w:r w:rsidR="00AF72C1" w:rsidRPr="00645F5F">
        <w:rPr>
          <w:rFonts w:eastAsia="Calibri"/>
        </w:rPr>
        <w:t xml:space="preserve"> system already contained author’s fingerprints </w:t>
      </w:r>
      <w:r w:rsidR="003F0312" w:rsidRPr="00645F5F">
        <w:rPr>
          <w:rFonts w:eastAsia="Calibri"/>
        </w:rPr>
        <w:t>from Bulgaria</w:t>
      </w:r>
      <w:r w:rsidR="00A41756" w:rsidRPr="00645F5F">
        <w:rPr>
          <w:rFonts w:eastAsia="Calibri"/>
        </w:rPr>
        <w:t xml:space="preserve">, taken at </w:t>
      </w:r>
      <w:proofErr w:type="spellStart"/>
      <w:r w:rsidR="003F0312" w:rsidRPr="00645F5F">
        <w:rPr>
          <w:rFonts w:eastAsia="Calibri"/>
        </w:rPr>
        <w:t>Voenna</w:t>
      </w:r>
      <w:proofErr w:type="spellEnd"/>
      <w:r w:rsidR="003F0312" w:rsidRPr="00645F5F">
        <w:rPr>
          <w:rFonts w:eastAsia="Calibri"/>
        </w:rPr>
        <w:t xml:space="preserve"> </w:t>
      </w:r>
      <w:proofErr w:type="spellStart"/>
      <w:r w:rsidR="003F0312" w:rsidRPr="00645F5F">
        <w:rPr>
          <w:rFonts w:eastAsia="Calibri"/>
        </w:rPr>
        <w:t>Rampa</w:t>
      </w:r>
      <w:proofErr w:type="spellEnd"/>
      <w:r w:rsidR="00A41756" w:rsidRPr="00645F5F">
        <w:rPr>
          <w:rFonts w:eastAsia="Calibri"/>
        </w:rPr>
        <w:t xml:space="preserve"> centre </w:t>
      </w:r>
      <w:r w:rsidR="003F0312" w:rsidRPr="00645F5F">
        <w:rPr>
          <w:rFonts w:eastAsia="Calibri"/>
        </w:rPr>
        <w:t>on 20 April 2016. The Office established that the Dublin procedure shall be initiated and the author’s asylum procedure was suspended on 28 May 2016 until the completion of the Dublin procedure. The Office appointed the V</w:t>
      </w:r>
      <w:r w:rsidR="003F0312" w:rsidRPr="00645F5F">
        <w:rPr>
          <w:rFonts w:eastAsia="Calibri"/>
          <w:lang w:val="cs-CZ"/>
        </w:rPr>
        <w:t>ámosszabadi Reception center as the author</w:t>
      </w:r>
      <w:r w:rsidR="003F0312" w:rsidRPr="00645F5F">
        <w:rPr>
          <w:rFonts w:eastAsia="Calibri"/>
        </w:rPr>
        <w:t>’s place of residence; however, the author did not arrive there</w:t>
      </w:r>
      <w:r w:rsidR="00B465B0" w:rsidRPr="00645F5F">
        <w:rPr>
          <w:rFonts w:eastAsia="Calibri"/>
        </w:rPr>
        <w:t xml:space="preserve">. On </w:t>
      </w:r>
      <w:r w:rsidR="003F0312" w:rsidRPr="00645F5F">
        <w:rPr>
          <w:rFonts w:eastAsia="Calibri"/>
        </w:rPr>
        <w:t>30 May 2016, he filed a request with the Office to allow him to remain at his aunt’s private residence. Consequently, the Office appointed the indicated private residence as the author’s residence.</w:t>
      </w:r>
      <w:r w:rsidR="00AF72C1" w:rsidRPr="00645F5F">
        <w:rPr>
          <w:rFonts w:eastAsia="Calibri"/>
        </w:rPr>
        <w:t xml:space="preserve"> </w:t>
      </w:r>
    </w:p>
    <w:p w14:paraId="543550F1" w14:textId="41C42928" w:rsidR="005B191C" w:rsidRPr="00645F5F" w:rsidRDefault="003F0312" w:rsidP="00966722">
      <w:pPr>
        <w:spacing w:after="120"/>
        <w:ind w:left="1134" w:right="1134"/>
        <w:jc w:val="both"/>
        <w:rPr>
          <w:rFonts w:eastAsia="Calibri"/>
        </w:rPr>
      </w:pPr>
      <w:r w:rsidRPr="00645F5F">
        <w:rPr>
          <w:rFonts w:eastAsia="Calibri"/>
        </w:rPr>
        <w:t>4.</w:t>
      </w:r>
      <w:r w:rsidR="00B465B0" w:rsidRPr="00645F5F">
        <w:rPr>
          <w:rFonts w:eastAsia="Calibri"/>
        </w:rPr>
        <w:t>5</w:t>
      </w:r>
      <w:r w:rsidRPr="00645F5F">
        <w:rPr>
          <w:rFonts w:eastAsia="Calibri"/>
        </w:rPr>
        <w:tab/>
      </w:r>
      <w:r w:rsidR="005B191C" w:rsidRPr="00645F5F">
        <w:rPr>
          <w:rFonts w:eastAsia="Calibri"/>
        </w:rPr>
        <w:t xml:space="preserve">On 27 July 2016, the </w:t>
      </w:r>
      <w:r w:rsidRPr="00645F5F">
        <w:rPr>
          <w:rFonts w:eastAsia="Calibri"/>
        </w:rPr>
        <w:t>O</w:t>
      </w:r>
      <w:r w:rsidR="005B191C" w:rsidRPr="00645F5F">
        <w:rPr>
          <w:rFonts w:eastAsia="Calibri"/>
        </w:rPr>
        <w:t xml:space="preserve">ffice established that Bulgaria was the responsible state for examining the author’s application for international protection. The author was notified about this decision on 14 September 2016. </w:t>
      </w:r>
      <w:r w:rsidR="00B465B0" w:rsidRPr="00645F5F">
        <w:rPr>
          <w:rFonts w:eastAsia="Calibri"/>
        </w:rPr>
        <w:t xml:space="preserve">He </w:t>
      </w:r>
      <w:r w:rsidR="005B191C" w:rsidRPr="00645F5F">
        <w:rPr>
          <w:rFonts w:eastAsia="Calibri"/>
        </w:rPr>
        <w:t xml:space="preserve">filed for appeal on the same date and stated that around seventy of his family members, who escaped from Afghanistan in the eighties, are currently living in Hungary. He explained that his family members can help him in the asylum </w:t>
      </w:r>
      <w:r w:rsidR="005B191C" w:rsidRPr="00645F5F">
        <w:rPr>
          <w:rFonts w:eastAsia="Calibri"/>
        </w:rPr>
        <w:lastRenderedPageBreak/>
        <w:t xml:space="preserve">procedure and in his integration process. </w:t>
      </w:r>
      <w:r w:rsidR="00B465B0" w:rsidRPr="00645F5F">
        <w:rPr>
          <w:rFonts w:eastAsia="Calibri"/>
        </w:rPr>
        <w:t xml:space="preserve">According to the State party, he </w:t>
      </w:r>
      <w:r w:rsidR="005B191C" w:rsidRPr="00645F5F">
        <w:rPr>
          <w:rFonts w:eastAsia="Calibri"/>
        </w:rPr>
        <w:t xml:space="preserve">did not mention any other </w:t>
      </w:r>
      <w:r w:rsidRPr="00645F5F">
        <w:rPr>
          <w:rFonts w:eastAsia="Calibri"/>
        </w:rPr>
        <w:t xml:space="preserve">facts </w:t>
      </w:r>
      <w:r w:rsidR="005B191C" w:rsidRPr="00645F5F">
        <w:rPr>
          <w:rFonts w:eastAsia="Calibri"/>
        </w:rPr>
        <w:t>or circumstances</w:t>
      </w:r>
      <w:r w:rsidR="00651FFB" w:rsidRPr="00645F5F">
        <w:rPr>
          <w:rFonts w:eastAsia="Calibri"/>
        </w:rPr>
        <w:t xml:space="preserve"> </w:t>
      </w:r>
      <w:r w:rsidRPr="00645F5F">
        <w:rPr>
          <w:rFonts w:eastAsia="Calibri"/>
        </w:rPr>
        <w:t>at that stage of the proceedings</w:t>
      </w:r>
      <w:r w:rsidR="00651FFB" w:rsidRPr="00645F5F">
        <w:rPr>
          <w:rFonts w:eastAsia="Calibri"/>
        </w:rPr>
        <w:t xml:space="preserve"> </w:t>
      </w:r>
      <w:r w:rsidR="00B465B0" w:rsidRPr="00645F5F">
        <w:rPr>
          <w:rFonts w:eastAsia="Calibri"/>
        </w:rPr>
        <w:t xml:space="preserve">that </w:t>
      </w:r>
      <w:r w:rsidR="00651FFB" w:rsidRPr="00645F5F">
        <w:rPr>
          <w:rFonts w:eastAsia="Calibri"/>
        </w:rPr>
        <w:t xml:space="preserve">he </w:t>
      </w:r>
      <w:r w:rsidR="00B465B0" w:rsidRPr="00645F5F">
        <w:rPr>
          <w:rFonts w:eastAsia="Calibri"/>
        </w:rPr>
        <w:t xml:space="preserve">has </w:t>
      </w:r>
      <w:r w:rsidR="00651FFB" w:rsidRPr="00645F5F">
        <w:rPr>
          <w:rFonts w:eastAsia="Calibri"/>
        </w:rPr>
        <w:t>refer</w:t>
      </w:r>
      <w:r w:rsidR="00B465B0" w:rsidRPr="00645F5F">
        <w:rPr>
          <w:rFonts w:eastAsia="Calibri"/>
        </w:rPr>
        <w:t xml:space="preserve">red </w:t>
      </w:r>
      <w:r w:rsidR="00651FFB" w:rsidRPr="00645F5F">
        <w:rPr>
          <w:rFonts w:eastAsia="Calibri"/>
        </w:rPr>
        <w:t xml:space="preserve">to </w:t>
      </w:r>
      <w:r w:rsidR="005B191C" w:rsidRPr="00645F5F">
        <w:rPr>
          <w:rFonts w:eastAsia="Calibri"/>
        </w:rPr>
        <w:t xml:space="preserve">in his complaint submitted to the Committee. </w:t>
      </w:r>
    </w:p>
    <w:p w14:paraId="2C1F0049" w14:textId="77777777" w:rsidR="00772EBF" w:rsidRPr="00645F5F" w:rsidRDefault="005B191C" w:rsidP="005E63EA">
      <w:pPr>
        <w:spacing w:after="120"/>
        <w:ind w:left="1134" w:right="1134"/>
        <w:jc w:val="both"/>
        <w:rPr>
          <w:rFonts w:eastAsia="Calibri"/>
        </w:rPr>
      </w:pPr>
      <w:r w:rsidRPr="00645F5F">
        <w:rPr>
          <w:rFonts w:eastAsia="Calibri"/>
        </w:rPr>
        <w:t>4.</w:t>
      </w:r>
      <w:r w:rsidR="00B465B0" w:rsidRPr="00645F5F">
        <w:rPr>
          <w:rFonts w:eastAsia="Calibri"/>
        </w:rPr>
        <w:t>6</w:t>
      </w:r>
      <w:r w:rsidR="00957F3B" w:rsidRPr="00645F5F">
        <w:rPr>
          <w:rFonts w:eastAsia="Calibri"/>
        </w:rPr>
        <w:tab/>
        <w:t xml:space="preserve">The State party emphasizes that the author was given information about the asylum procedure, both in writing and orally, including </w:t>
      </w:r>
      <w:r w:rsidR="002D4947" w:rsidRPr="00645F5F">
        <w:rPr>
          <w:rFonts w:eastAsia="Calibri"/>
        </w:rPr>
        <w:t xml:space="preserve">the implications of the Dublin procedure, and the author understood and took note of it. The author claimed to be physically and mentally fit before and during the interview, and he did not mention his asthma or his improper mental condition during the interview. Each page of the interview minutes has been signed by the author. The authorities informed the author about the application of the Dublin Regulation and another personal interview took place, pursuant to article 5 of the Dublin Regulation. </w:t>
      </w:r>
      <w:r w:rsidR="005E63EA" w:rsidRPr="00645F5F">
        <w:rPr>
          <w:rFonts w:eastAsia="Calibri"/>
        </w:rPr>
        <w:t xml:space="preserve">Since the author did not indicate any medical problems, the asylum authority could not consider these facts. </w:t>
      </w:r>
    </w:p>
    <w:p w14:paraId="6039A051" w14:textId="18EBB3DC" w:rsidR="002D4947" w:rsidRPr="00645F5F" w:rsidRDefault="00772EBF" w:rsidP="005E63EA">
      <w:pPr>
        <w:spacing w:after="120"/>
        <w:ind w:left="1134" w:right="1134"/>
        <w:jc w:val="both"/>
        <w:rPr>
          <w:rFonts w:eastAsia="Calibri"/>
        </w:rPr>
      </w:pPr>
      <w:r w:rsidRPr="00645F5F">
        <w:rPr>
          <w:rFonts w:eastAsia="Calibri"/>
        </w:rPr>
        <w:t>4.7</w:t>
      </w:r>
      <w:r w:rsidRPr="00645F5F">
        <w:rPr>
          <w:rFonts w:eastAsia="Calibri"/>
        </w:rPr>
        <w:tab/>
      </w:r>
      <w:r w:rsidR="00215E7A" w:rsidRPr="00645F5F">
        <w:rPr>
          <w:rFonts w:eastAsia="Calibri"/>
        </w:rPr>
        <w:t xml:space="preserve">The author appealed against the Office’s decision that Bulgaria was the responsible state for examining his application for international protection, based on article 49 of </w:t>
      </w:r>
      <w:r w:rsidRPr="00645F5F">
        <w:rPr>
          <w:rFonts w:eastAsia="Calibri"/>
        </w:rPr>
        <w:t xml:space="preserve">the </w:t>
      </w:r>
      <w:r w:rsidR="00215E7A" w:rsidRPr="00645F5F">
        <w:rPr>
          <w:rFonts w:eastAsia="Calibri"/>
        </w:rPr>
        <w:t xml:space="preserve">Law LXXX of 2007 on Asylum, which is in compliance with article 27 of the Dublin Regulation. His right to remedy was indeed secured, and the author exercised his right when he appealed the said decision. In his appeal, the author did not object to the lawfulness of the procedure, and he did not complain about any shortcomings in the Bulgarian asylum system nor did he state that Bulgaria was not a safe country in his case. The author’s appeal was merely based on the fact that around seventy of his family members live in Hungary, many of whom received Hungarian citizenship. </w:t>
      </w:r>
      <w:r w:rsidRPr="00645F5F">
        <w:rPr>
          <w:rFonts w:eastAsia="Calibri"/>
        </w:rPr>
        <w:t>He particularly referred to his aunt living in Hungary for fifteen years.</w:t>
      </w:r>
      <w:r w:rsidR="00305113" w:rsidRPr="00645F5F">
        <w:rPr>
          <w:rFonts w:eastAsia="Calibri"/>
        </w:rPr>
        <w:t xml:space="preserve"> </w:t>
      </w:r>
      <w:r w:rsidR="00215E7A" w:rsidRPr="00645F5F">
        <w:rPr>
          <w:rFonts w:eastAsia="Calibri"/>
        </w:rPr>
        <w:t>In view of the State party, the author’s aunt does not qualify as a family member under article 2 (g) of the Dublin Regulation, thus this circumstance is irrelevant in the asylum procedure. The author in his appeal did not indicate any other relatives by names who would qualify as family member</w:t>
      </w:r>
      <w:r w:rsidRPr="00645F5F">
        <w:rPr>
          <w:rFonts w:eastAsia="Calibri"/>
        </w:rPr>
        <w:t>s</w:t>
      </w:r>
      <w:r w:rsidR="00215E7A" w:rsidRPr="00645F5F">
        <w:rPr>
          <w:rFonts w:eastAsia="Calibri"/>
        </w:rPr>
        <w:t xml:space="preserve"> under the Dublin Regulation, and he did not raise any other objections against the continuation of the procedure to be conducted by the Bulgarian authorities. </w:t>
      </w:r>
      <w:r w:rsidR="006D1E71" w:rsidRPr="00645F5F">
        <w:rPr>
          <w:rFonts w:eastAsia="Calibri"/>
        </w:rPr>
        <w:t xml:space="preserve">The State party further notes that the author did not complain about any mental or other kind of health problems in the appeals phase of the proceedings either, and that the psychiatric opinion diagnosing PTSD issued by Cordelia Foundation was issued only on 11 November 2016 when the legally binding decision had </w:t>
      </w:r>
      <w:r w:rsidRPr="00645F5F">
        <w:rPr>
          <w:rFonts w:eastAsia="Calibri"/>
        </w:rPr>
        <w:t xml:space="preserve">already </w:t>
      </w:r>
      <w:r w:rsidR="006D1E71" w:rsidRPr="00645F5F">
        <w:rPr>
          <w:rFonts w:eastAsia="Calibri"/>
        </w:rPr>
        <w:t>been delivered by the Metropolitan Court on 17 October 2016.</w:t>
      </w:r>
      <w:r w:rsidR="00A322CD" w:rsidRPr="00645F5F">
        <w:rPr>
          <w:rStyle w:val="FootnoteReference"/>
          <w:rFonts w:eastAsia="Calibri"/>
        </w:rPr>
        <w:footnoteReference w:id="19"/>
      </w:r>
      <w:r w:rsidR="006D1E71" w:rsidRPr="00645F5F">
        <w:rPr>
          <w:rFonts w:eastAsia="Calibri"/>
        </w:rPr>
        <w:t xml:space="preserve"> </w:t>
      </w:r>
    </w:p>
    <w:p w14:paraId="7BDBAB93" w14:textId="4A25E19C" w:rsidR="001C763E" w:rsidRPr="00645F5F" w:rsidRDefault="001C763E" w:rsidP="005E63EA">
      <w:pPr>
        <w:spacing w:after="120"/>
        <w:ind w:left="1134" w:right="1134"/>
        <w:jc w:val="both"/>
        <w:rPr>
          <w:rFonts w:eastAsia="Calibri"/>
        </w:rPr>
      </w:pPr>
      <w:r w:rsidRPr="00645F5F">
        <w:rPr>
          <w:rFonts w:eastAsia="Calibri"/>
        </w:rPr>
        <w:t>4.</w:t>
      </w:r>
      <w:r w:rsidR="00772EBF" w:rsidRPr="00645F5F">
        <w:rPr>
          <w:rFonts w:eastAsia="Calibri"/>
        </w:rPr>
        <w:t>8</w:t>
      </w:r>
      <w:r w:rsidRPr="00645F5F">
        <w:rPr>
          <w:rFonts w:eastAsia="Calibri"/>
        </w:rPr>
        <w:tab/>
      </w:r>
      <w:r w:rsidR="0031237F" w:rsidRPr="00645F5F">
        <w:rPr>
          <w:rFonts w:eastAsia="Calibri"/>
        </w:rPr>
        <w:t xml:space="preserve">The State party reiterates that the author did not make references to any condition, such as improper mental state or medical problems, calling for him to be considered as a vulnerable person. To the contrary, the author seemed to be an adult, single and healthy man who served as a police officer in his country of origin, and escaped his country because he did not want to join the Taliban forces. The Hungarian authorities had no reason to call into question these circumstances. The State party also notes that the author’s sibling who also submitted a request for asylum did not mention any circumstances </w:t>
      </w:r>
      <w:r w:rsidR="00772EBF" w:rsidRPr="00645F5F">
        <w:rPr>
          <w:rFonts w:eastAsia="Calibri"/>
        </w:rPr>
        <w:t xml:space="preserve">which would give </w:t>
      </w:r>
      <w:r w:rsidR="0031237F" w:rsidRPr="00645F5F">
        <w:rPr>
          <w:rFonts w:eastAsia="Calibri"/>
        </w:rPr>
        <w:t>rise to the suspicion that the author may belong to a vulnerable group.</w:t>
      </w:r>
      <w:r w:rsidR="0031237F" w:rsidRPr="00645F5F">
        <w:rPr>
          <w:rStyle w:val="FootnoteReference"/>
          <w:rFonts w:eastAsia="Calibri"/>
        </w:rPr>
        <w:footnoteReference w:id="20"/>
      </w:r>
      <w:r w:rsidR="0031237F" w:rsidRPr="00645F5F">
        <w:rPr>
          <w:rFonts w:eastAsia="Calibri"/>
        </w:rPr>
        <w:t xml:space="preserve"> </w:t>
      </w:r>
      <w:r w:rsidR="009639D6">
        <w:rPr>
          <w:rFonts w:eastAsia="Calibri"/>
        </w:rPr>
        <w:t>The</w:t>
      </w:r>
      <w:r w:rsidR="004E0C7C" w:rsidRPr="00645F5F">
        <w:rPr>
          <w:rFonts w:eastAsia="Calibri"/>
        </w:rPr>
        <w:t xml:space="preserve"> circumstances that would substantiate the alleged violation of the author’s rights were only made in the complaint submitted to the Committee</w:t>
      </w:r>
      <w:r w:rsidR="009639D6">
        <w:rPr>
          <w:rFonts w:eastAsia="Calibri"/>
        </w:rPr>
        <w:t>. T</w:t>
      </w:r>
      <w:r w:rsidR="004E0C7C" w:rsidRPr="00645F5F">
        <w:rPr>
          <w:rFonts w:eastAsia="Calibri"/>
        </w:rPr>
        <w:t xml:space="preserve">he State party </w:t>
      </w:r>
      <w:r w:rsidR="009639D6">
        <w:rPr>
          <w:rFonts w:eastAsia="Calibri"/>
        </w:rPr>
        <w:t xml:space="preserve">thus </w:t>
      </w:r>
      <w:r w:rsidR="004E0C7C" w:rsidRPr="00645F5F">
        <w:rPr>
          <w:rFonts w:eastAsia="Calibri"/>
        </w:rPr>
        <w:t xml:space="preserve">questions the genuineness of those allegations and claims that </w:t>
      </w:r>
      <w:r w:rsidR="00305113" w:rsidRPr="00645F5F">
        <w:rPr>
          <w:rFonts w:eastAsia="Calibri"/>
        </w:rPr>
        <w:t xml:space="preserve">it </w:t>
      </w:r>
      <w:r w:rsidR="004E0C7C" w:rsidRPr="00645F5F">
        <w:rPr>
          <w:rFonts w:eastAsia="Calibri"/>
        </w:rPr>
        <w:t xml:space="preserve">cannot be made responsible for the </w:t>
      </w:r>
      <w:r w:rsidR="00305113" w:rsidRPr="00645F5F">
        <w:rPr>
          <w:rFonts w:eastAsia="Calibri"/>
        </w:rPr>
        <w:t>author</w:t>
      </w:r>
      <w:r w:rsidR="004E0C7C" w:rsidRPr="00645F5F">
        <w:rPr>
          <w:rFonts w:eastAsia="Calibri"/>
        </w:rPr>
        <w:t>’s failure to inform the authorities about the circumstances he referred to in his complaint</w:t>
      </w:r>
      <w:r w:rsidR="00305113" w:rsidRPr="00645F5F">
        <w:rPr>
          <w:rFonts w:eastAsia="Calibri"/>
        </w:rPr>
        <w:t xml:space="preserve">, </w:t>
      </w:r>
      <w:r w:rsidR="004E0C7C" w:rsidRPr="00645F5F">
        <w:rPr>
          <w:rFonts w:eastAsia="Calibri"/>
        </w:rPr>
        <w:t>be these allegations true or false.</w:t>
      </w:r>
      <w:r w:rsidR="002743E7">
        <w:rPr>
          <w:rFonts w:eastAsia="Calibri"/>
        </w:rPr>
        <w:t xml:space="preserve"> </w:t>
      </w:r>
    </w:p>
    <w:p w14:paraId="521C1FB4" w14:textId="374ECAE8" w:rsidR="00097094" w:rsidRPr="00645F5F" w:rsidRDefault="005E63EA" w:rsidP="00043D67">
      <w:pPr>
        <w:spacing w:after="240"/>
        <w:ind w:left="1134" w:right="1134"/>
        <w:jc w:val="both"/>
        <w:rPr>
          <w:rFonts w:eastAsia="Calibri"/>
        </w:rPr>
      </w:pPr>
      <w:r w:rsidRPr="00645F5F">
        <w:rPr>
          <w:rFonts w:eastAsia="Calibri"/>
        </w:rPr>
        <w:t>4.</w:t>
      </w:r>
      <w:r w:rsidR="00305113" w:rsidRPr="00645F5F">
        <w:rPr>
          <w:rFonts w:eastAsia="Calibri"/>
        </w:rPr>
        <w:t>9</w:t>
      </w:r>
      <w:r w:rsidRPr="00645F5F">
        <w:rPr>
          <w:rFonts w:eastAsia="Calibri"/>
        </w:rPr>
        <w:tab/>
      </w:r>
      <w:r w:rsidR="005B191C" w:rsidRPr="00645F5F">
        <w:rPr>
          <w:rFonts w:eastAsia="Calibri"/>
        </w:rPr>
        <w:t xml:space="preserve">The State party further emphasizes that the reports cited by the author in his complaint were written two to three years ago, for which reason they do not reflect the current conditions </w:t>
      </w:r>
      <w:r w:rsidR="005B191C" w:rsidRPr="00645F5F">
        <w:rPr>
          <w:rFonts w:eastAsia="Calibri"/>
        </w:rPr>
        <w:lastRenderedPageBreak/>
        <w:t>in Bulgaria</w:t>
      </w:r>
      <w:r w:rsidR="00305113" w:rsidRPr="00645F5F">
        <w:rPr>
          <w:rFonts w:eastAsia="Calibri"/>
        </w:rPr>
        <w:t xml:space="preserve">, </w:t>
      </w:r>
      <w:r w:rsidR="009639D6">
        <w:rPr>
          <w:rFonts w:eastAsia="Calibri"/>
        </w:rPr>
        <w:t xml:space="preserve">as they did not take into consideration the </w:t>
      </w:r>
      <w:r w:rsidR="005B191C" w:rsidRPr="00645F5F">
        <w:rPr>
          <w:rFonts w:eastAsia="Calibri"/>
        </w:rPr>
        <w:t xml:space="preserve">development </w:t>
      </w:r>
      <w:r w:rsidR="00305113" w:rsidRPr="00645F5F">
        <w:rPr>
          <w:rFonts w:eastAsia="Calibri"/>
        </w:rPr>
        <w:t xml:space="preserve">assistance and </w:t>
      </w:r>
      <w:r w:rsidR="00097094" w:rsidRPr="00645F5F">
        <w:rPr>
          <w:rFonts w:eastAsia="Calibri"/>
        </w:rPr>
        <w:t>aid funded by the EU</w:t>
      </w:r>
      <w:r w:rsidR="001C763E" w:rsidRPr="00645F5F">
        <w:rPr>
          <w:rFonts w:eastAsia="Calibri"/>
        </w:rPr>
        <w:t xml:space="preserve"> in the previous years</w:t>
      </w:r>
      <w:r w:rsidR="00097094" w:rsidRPr="00645F5F">
        <w:rPr>
          <w:rFonts w:eastAsia="Calibri"/>
        </w:rPr>
        <w:t xml:space="preserve">. </w:t>
      </w:r>
      <w:r w:rsidR="00305113" w:rsidRPr="00645F5F">
        <w:rPr>
          <w:rFonts w:eastAsia="Calibri"/>
        </w:rPr>
        <w:t xml:space="preserve">It </w:t>
      </w:r>
      <w:r w:rsidR="001C763E" w:rsidRPr="00645F5F">
        <w:rPr>
          <w:rFonts w:eastAsia="Calibri"/>
        </w:rPr>
        <w:t xml:space="preserve">also claims that there is no EU decision, according to which, contrary to Greece, Bulgaria cannot be considered as a safe country. </w:t>
      </w:r>
      <w:r w:rsidR="0047296B" w:rsidRPr="00645F5F">
        <w:rPr>
          <w:rFonts w:eastAsia="Calibri"/>
        </w:rPr>
        <w:t xml:space="preserve">The State party finally </w:t>
      </w:r>
      <w:r w:rsidR="001C763E" w:rsidRPr="00645F5F">
        <w:rPr>
          <w:rFonts w:eastAsia="Calibri"/>
        </w:rPr>
        <w:t xml:space="preserve">reiterates that the author did not put forward any arguments in his appeal claiming that Bulgaria is not a safe country in his case which would have been essential for the Hungarian authorities to reach a different outcome in their decision. </w:t>
      </w:r>
      <w:r w:rsidR="0047296B" w:rsidRPr="00645F5F">
        <w:rPr>
          <w:rFonts w:eastAsia="Calibri"/>
        </w:rPr>
        <w:t xml:space="preserve">It </w:t>
      </w:r>
      <w:r w:rsidR="00097094" w:rsidRPr="00645F5F">
        <w:rPr>
          <w:rFonts w:eastAsia="Calibri"/>
        </w:rPr>
        <w:t xml:space="preserve">argues that the violations claimed by the author are not well-founded and that the complaint is therefore inadmissible. </w:t>
      </w:r>
    </w:p>
    <w:p w14:paraId="37DE4F5D" w14:textId="791BE44D" w:rsidR="005B191C" w:rsidRPr="00645F5F" w:rsidRDefault="009704FD" w:rsidP="009704FD">
      <w:pPr>
        <w:pStyle w:val="H23G"/>
      </w:pPr>
      <w:r>
        <w:tab/>
      </w:r>
      <w:r>
        <w:tab/>
      </w:r>
      <w:r w:rsidR="00097094" w:rsidRPr="00645F5F">
        <w:t xml:space="preserve">Author’s comments on the State party’s observations </w:t>
      </w:r>
    </w:p>
    <w:p w14:paraId="34651BE0" w14:textId="3CE9EE97" w:rsidR="00576142" w:rsidRPr="00645F5F" w:rsidRDefault="00097094" w:rsidP="00F25AD6">
      <w:pPr>
        <w:pStyle w:val="SingleTxtG"/>
      </w:pPr>
      <w:r w:rsidRPr="00645F5F">
        <w:t>5.1</w:t>
      </w:r>
      <w:r w:rsidRPr="00645F5F">
        <w:tab/>
      </w:r>
      <w:r w:rsidR="00576142" w:rsidRPr="00645F5F">
        <w:t>On 3 April 2017, the author submitted his comments on the State party’s observations</w:t>
      </w:r>
      <w:r w:rsidR="00043D67" w:rsidRPr="00645F5F">
        <w:t xml:space="preserve">, claiming </w:t>
      </w:r>
      <w:r w:rsidR="00576142" w:rsidRPr="00645F5F">
        <w:t xml:space="preserve">that the State party has failed to rely on relevant legal reasoning in its observations on the admissibility. The author </w:t>
      </w:r>
      <w:r w:rsidR="00043D67" w:rsidRPr="00645F5F">
        <w:t xml:space="preserve">asserts </w:t>
      </w:r>
      <w:r w:rsidR="00576142" w:rsidRPr="00645F5F">
        <w:t xml:space="preserve">that the Immigration and Asylum Office and the Metropolitan Court did not fulfil their duty concerning the future oriented risk-assessment regarding the deportation to Bulgaria as they failed to carry out the necessary fact-finding and assessment of relevant country information in light of the individual circumstances of the author. </w:t>
      </w:r>
    </w:p>
    <w:p w14:paraId="0447C4C5" w14:textId="6255A693" w:rsidR="00CA2074" w:rsidRPr="00645F5F" w:rsidRDefault="00576142" w:rsidP="00F25AD6">
      <w:pPr>
        <w:pStyle w:val="SingleTxtG"/>
      </w:pPr>
      <w:r w:rsidRPr="00645F5F">
        <w:t>5.2</w:t>
      </w:r>
      <w:r w:rsidRPr="00645F5F">
        <w:tab/>
        <w:t xml:space="preserve">The author notes that the State party has referred to the fact that he had not made any declaration before the </w:t>
      </w:r>
      <w:r w:rsidRPr="00F25AD6">
        <w:t>State</w:t>
      </w:r>
      <w:r w:rsidRPr="00645F5F">
        <w:t xml:space="preserve"> party’s authorities regarding his poor health condition and the previous ill-treatment he had suffered in Bulgaria. The author claims that the Office had an obligation to ascertain the relevant facts of his case,</w:t>
      </w:r>
      <w:r w:rsidRPr="00645F5F">
        <w:rPr>
          <w:rStyle w:val="FootnoteReference"/>
          <w:rFonts w:eastAsia="Calibri"/>
        </w:rPr>
        <w:footnoteReference w:id="21"/>
      </w:r>
      <w:r w:rsidRPr="00645F5F">
        <w:t xml:space="preserve"> especially those relevant within the application of the Dublin III Regulation. He adds that this obligation entails to take steps to proactively identify vulnerable asylum-seekers, which the State party’s authorities failed to do</w:t>
      </w:r>
      <w:r w:rsidR="00CA2074" w:rsidRPr="00645F5F">
        <w:t xml:space="preserve">. </w:t>
      </w:r>
      <w:r w:rsidRPr="00645F5F">
        <w:t xml:space="preserve">The author argues that without fulfilling these obligations, the State party cannot legitimately rely on his failure to present every possible argument available, especially considering the fact that he did not have legal representation. </w:t>
      </w:r>
    </w:p>
    <w:p w14:paraId="336D4A24" w14:textId="2F5D33F1" w:rsidR="00E7274F" w:rsidRPr="00645F5F" w:rsidRDefault="00CA2074" w:rsidP="00F25AD6">
      <w:pPr>
        <w:pStyle w:val="SingleTxtG"/>
      </w:pPr>
      <w:r w:rsidRPr="00645F5F">
        <w:t>5.3</w:t>
      </w:r>
      <w:r w:rsidRPr="00645F5F">
        <w:tab/>
      </w:r>
      <w:r w:rsidR="00067395" w:rsidRPr="00645F5F">
        <w:t>The author notes that he only had one short interview with the State party authorities during his asylum application and that he was not asked any questions regarding Bulgaria or the Dublin procedure. He claims that he was never properly informed about the Dublin procedure, despite the State party’s clear obligation to do so under article 4 of the said Regulation</w:t>
      </w:r>
      <w:r w:rsidRPr="00645F5F">
        <w:t>. C</w:t>
      </w:r>
      <w:r w:rsidR="00067395" w:rsidRPr="00645F5F">
        <w:t>onsequently</w:t>
      </w:r>
      <w:r w:rsidRPr="00645F5F">
        <w:t xml:space="preserve">, </w:t>
      </w:r>
      <w:r w:rsidR="00067395" w:rsidRPr="00645F5F">
        <w:t>he could not have known what sort of information, and in relation to which country, he was to put forward arguments during the proceeding</w:t>
      </w:r>
      <w:r w:rsidR="009704FD">
        <w:t>s.</w:t>
      </w:r>
    </w:p>
    <w:p w14:paraId="47D71DE7" w14:textId="276510A3" w:rsidR="00CD31B2" w:rsidRPr="00645F5F" w:rsidRDefault="00E7274F" w:rsidP="00F25AD6">
      <w:pPr>
        <w:pStyle w:val="SingleTxtG"/>
      </w:pPr>
      <w:r w:rsidRPr="00645F5F">
        <w:t>5.</w:t>
      </w:r>
      <w:r w:rsidR="00CA2074" w:rsidRPr="00645F5F">
        <w:t>4</w:t>
      </w:r>
      <w:r w:rsidRPr="00645F5F">
        <w:tab/>
        <w:t xml:space="preserve">Regarding his health condition, the author claims that he could not have provided the State party with a diagnosis of PTSD, as an asylum seeker suffering from the symptoms of </w:t>
      </w:r>
      <w:r w:rsidR="00CD31B2" w:rsidRPr="00645F5F">
        <w:t>PTSD would not be able to give full account of his mental health cond</w:t>
      </w:r>
      <w:r w:rsidR="009704FD">
        <w:t>ition.</w:t>
      </w:r>
    </w:p>
    <w:p w14:paraId="7F16355A" w14:textId="70F57F33" w:rsidR="00CD31B2" w:rsidRPr="00645F5F" w:rsidRDefault="00CD31B2" w:rsidP="00F25AD6">
      <w:pPr>
        <w:pStyle w:val="SingleTxtG"/>
      </w:pPr>
      <w:r w:rsidRPr="00645F5F">
        <w:t>5.</w:t>
      </w:r>
      <w:r w:rsidR="00CA2074" w:rsidRPr="00645F5F">
        <w:t>5</w:t>
      </w:r>
      <w:r w:rsidRPr="00645F5F">
        <w:tab/>
        <w:t xml:space="preserve">Based on the above, the author maintains his claim that the State party’s authorities failed to fulfil their obligation to provide effective guarantees to protect him against arbitrary removal to Bulgaria resulting in a potential violation of article 7, read alone and in conjunction with article 2 (3) of the Covenant. </w:t>
      </w:r>
    </w:p>
    <w:p w14:paraId="4BAEFB02" w14:textId="6538726F" w:rsidR="00097094" w:rsidRPr="00645F5F" w:rsidRDefault="00CD31B2" w:rsidP="00DA3DFF">
      <w:pPr>
        <w:spacing w:after="240"/>
        <w:ind w:left="1134" w:right="1134"/>
        <w:jc w:val="both"/>
        <w:rPr>
          <w:rFonts w:eastAsia="Calibri"/>
        </w:rPr>
      </w:pPr>
      <w:r w:rsidRPr="00645F5F">
        <w:rPr>
          <w:rFonts w:eastAsia="Calibri"/>
        </w:rPr>
        <w:t>5.</w:t>
      </w:r>
      <w:r w:rsidR="00CA2074" w:rsidRPr="00645F5F">
        <w:rPr>
          <w:rFonts w:eastAsia="Calibri"/>
        </w:rPr>
        <w:t>6</w:t>
      </w:r>
      <w:r w:rsidRPr="00645F5F">
        <w:rPr>
          <w:rFonts w:eastAsia="Calibri"/>
        </w:rPr>
        <w:tab/>
        <w:t xml:space="preserve">The author further claims that the proceedings regarding his asylum application were marred by significant procedural errors. He </w:t>
      </w:r>
      <w:r w:rsidR="00CA2074" w:rsidRPr="00645F5F">
        <w:rPr>
          <w:rFonts w:eastAsia="Calibri"/>
        </w:rPr>
        <w:t xml:space="preserve">submits </w:t>
      </w:r>
      <w:r w:rsidRPr="00645F5F">
        <w:rPr>
          <w:rFonts w:eastAsia="Calibri"/>
        </w:rPr>
        <w:t xml:space="preserve">that the judicial review </w:t>
      </w:r>
      <w:r w:rsidR="002B6CD0" w:rsidRPr="00645F5F">
        <w:rPr>
          <w:rFonts w:eastAsia="Calibri"/>
        </w:rPr>
        <w:t xml:space="preserve">by </w:t>
      </w:r>
      <w:r w:rsidRPr="00645F5F">
        <w:rPr>
          <w:rFonts w:eastAsia="Calibri"/>
        </w:rPr>
        <w:t xml:space="preserve">the Metropolitan Court was not compatible with the preamble and article 27 of the Dublin </w:t>
      </w:r>
      <w:r w:rsidRPr="00645F5F">
        <w:rPr>
          <w:rFonts w:eastAsia="Calibri"/>
        </w:rPr>
        <w:lastRenderedPageBreak/>
        <w:t>Regulation, according to which an applicant shall have the right to an effective remedy that should cover both the examination of the application of the D</w:t>
      </w:r>
      <w:r w:rsidRPr="00F25AD6">
        <w:rPr>
          <w:rStyle w:val="SingleTxtGChar"/>
        </w:rPr>
        <w:t>ub</w:t>
      </w:r>
      <w:r w:rsidRPr="00645F5F">
        <w:rPr>
          <w:rFonts w:eastAsia="Calibri"/>
        </w:rPr>
        <w:t xml:space="preserve">lin Regulation and of the legal and factual situation in the Member State concerned. He claims that he was not presented with the chance to be heard neither on the potential applicability of the Dublin Regulation in his case, nor on the potential consequences of his return to Bulgaria, entailing the risk under article 7. In addition, he claims that </w:t>
      </w:r>
      <w:r w:rsidR="002B6CD0" w:rsidRPr="00645F5F">
        <w:rPr>
          <w:rFonts w:eastAsia="Calibri"/>
        </w:rPr>
        <w:t>t</w:t>
      </w:r>
      <w:r w:rsidRPr="00645F5F">
        <w:rPr>
          <w:rFonts w:eastAsia="Calibri"/>
        </w:rPr>
        <w:t>his failure has not been remedied by</w:t>
      </w:r>
      <w:r w:rsidR="002B6CD0" w:rsidRPr="00645F5F">
        <w:rPr>
          <w:rFonts w:eastAsia="Calibri"/>
        </w:rPr>
        <w:t xml:space="preserve"> the domestic court, and that he was denied a personal hearing. He further claims that the Court failed to assess the publicly available information on the Bulgarian asylum system and reception conditions. He also notes that he was not represented by a lawyer during the proceedings and claims that he had not received any information on the nature and substance of the process and was therefore not in the position to submit the necessary arguments. He thus claims that the judicial review did not contain a mean</w:t>
      </w:r>
      <w:r w:rsidR="009704FD">
        <w:rPr>
          <w:rFonts w:eastAsia="Calibri"/>
        </w:rPr>
        <w:t>ingful assessment of his claim.</w:t>
      </w:r>
    </w:p>
    <w:p w14:paraId="254710AE" w14:textId="0BF82DD5" w:rsidR="00FA222B" w:rsidRPr="00645F5F" w:rsidRDefault="00966722" w:rsidP="00F25AD6">
      <w:pPr>
        <w:pStyle w:val="H23G"/>
        <w:rPr>
          <w:rFonts w:eastAsia="Calibri"/>
        </w:rPr>
      </w:pPr>
      <w:r w:rsidRPr="00645F5F">
        <w:rPr>
          <w:rFonts w:eastAsia="Calibri"/>
        </w:rPr>
        <w:tab/>
      </w:r>
      <w:r w:rsidR="0086715C" w:rsidRPr="00645F5F">
        <w:tab/>
      </w:r>
      <w:r w:rsidR="00FA222B" w:rsidRPr="00645F5F">
        <w:t>State party'</w:t>
      </w:r>
      <w:r w:rsidR="00F41A3B" w:rsidRPr="00645F5F">
        <w:t xml:space="preserve">s observations </w:t>
      </w:r>
      <w:r w:rsidR="00745356" w:rsidRPr="00645F5F">
        <w:t xml:space="preserve">on </w:t>
      </w:r>
      <w:r w:rsidR="00F41A3B" w:rsidRPr="00645F5F">
        <w:t xml:space="preserve">the </w:t>
      </w:r>
      <w:r w:rsidR="00FA222B" w:rsidRPr="00645F5F">
        <w:t>merits</w:t>
      </w:r>
    </w:p>
    <w:p w14:paraId="3B76BEA4" w14:textId="71567DC6" w:rsidR="00684A82" w:rsidRPr="00645F5F" w:rsidRDefault="00684A82" w:rsidP="004F61CC">
      <w:pPr>
        <w:pStyle w:val="SingleTxtG"/>
        <w:rPr>
          <w:rFonts w:eastAsia="Calibri"/>
        </w:rPr>
      </w:pPr>
      <w:r w:rsidRPr="00645F5F">
        <w:t>6</w:t>
      </w:r>
      <w:r w:rsidR="0067314F" w:rsidRPr="00645F5F">
        <w:t>.</w:t>
      </w:r>
      <w:r w:rsidR="00303CA1" w:rsidRPr="00645F5F">
        <w:t>1</w:t>
      </w:r>
      <w:r w:rsidR="0067314F" w:rsidRPr="00645F5F">
        <w:tab/>
      </w:r>
      <w:r w:rsidR="00046296" w:rsidRPr="00645F5F">
        <w:t>O</w:t>
      </w:r>
      <w:r w:rsidR="00046296" w:rsidRPr="00645F5F">
        <w:rPr>
          <w:rFonts w:eastAsia="Calibri"/>
        </w:rPr>
        <w:t xml:space="preserve">n </w:t>
      </w:r>
      <w:r w:rsidRPr="00645F5F">
        <w:rPr>
          <w:rFonts w:eastAsia="Calibri"/>
        </w:rPr>
        <w:t xml:space="preserve">28 August 2017, the </w:t>
      </w:r>
      <w:r w:rsidR="00046296" w:rsidRPr="00645F5F">
        <w:rPr>
          <w:rFonts w:eastAsia="Calibri"/>
        </w:rPr>
        <w:t xml:space="preserve">State party </w:t>
      </w:r>
      <w:r w:rsidR="00687BEE" w:rsidRPr="00645F5F">
        <w:rPr>
          <w:rFonts w:eastAsia="Calibri"/>
        </w:rPr>
        <w:t xml:space="preserve">submitted its </w:t>
      </w:r>
      <w:r w:rsidRPr="00645F5F">
        <w:rPr>
          <w:rFonts w:eastAsia="Calibri"/>
        </w:rPr>
        <w:t xml:space="preserve">supplementary </w:t>
      </w:r>
      <w:r w:rsidR="00046296" w:rsidRPr="00645F5F">
        <w:rPr>
          <w:rFonts w:eastAsia="Calibri"/>
        </w:rPr>
        <w:t>observations</w:t>
      </w:r>
      <w:r w:rsidR="001D4A09" w:rsidRPr="00645F5F">
        <w:rPr>
          <w:rFonts w:eastAsia="Calibri"/>
        </w:rPr>
        <w:t xml:space="preserve"> on admissibility and the merits, reiterating that the author’s claims have not been substantiated. </w:t>
      </w:r>
    </w:p>
    <w:p w14:paraId="37EB9F47" w14:textId="4C8604BB" w:rsidR="00564384" w:rsidRPr="00645F5F" w:rsidRDefault="00684A82" w:rsidP="004F61CC">
      <w:pPr>
        <w:pStyle w:val="SingleTxtG"/>
        <w:rPr>
          <w:rFonts w:eastAsia="Calibri"/>
        </w:rPr>
      </w:pPr>
      <w:r w:rsidRPr="00645F5F">
        <w:rPr>
          <w:rFonts w:eastAsia="Calibri"/>
        </w:rPr>
        <w:t>6.2</w:t>
      </w:r>
      <w:r w:rsidRPr="00645F5F">
        <w:rPr>
          <w:rFonts w:eastAsia="Calibri"/>
        </w:rPr>
        <w:tab/>
        <w:t>As regards the author’s statements that the Office should have examined whether the author’s return to Bulgaria qualifies as torture, and inhumane or degrading treatment, the State party maintains its position that the procedure conducted by the Office is in line with the relevant legal provisions, in particular the requirements of the Dublin III Regulation. It notes that it would be unreasonable to expect the asylum authority and the relevant courts to conduct fact-finding missions in the receiving country in each case.</w:t>
      </w:r>
      <w:r w:rsidR="00564384" w:rsidRPr="00645F5F">
        <w:rPr>
          <w:rFonts w:eastAsia="Calibri"/>
        </w:rPr>
        <w:t xml:space="preserve"> This does not</w:t>
      </w:r>
      <w:r w:rsidR="006D30B6" w:rsidRPr="00645F5F">
        <w:rPr>
          <w:rFonts w:eastAsia="Calibri"/>
        </w:rPr>
        <w:t xml:space="preserve">, </w:t>
      </w:r>
      <w:r w:rsidR="00564384" w:rsidRPr="00645F5F">
        <w:rPr>
          <w:rFonts w:eastAsia="Calibri"/>
        </w:rPr>
        <w:t>however</w:t>
      </w:r>
      <w:r w:rsidR="006D30B6" w:rsidRPr="00645F5F">
        <w:rPr>
          <w:rFonts w:eastAsia="Calibri"/>
        </w:rPr>
        <w:t xml:space="preserve">, </w:t>
      </w:r>
      <w:r w:rsidR="00564384" w:rsidRPr="00645F5F">
        <w:rPr>
          <w:rFonts w:eastAsia="Calibri"/>
        </w:rPr>
        <w:t>prevent neither the asylum authority nor the courts to examine the individual circumstances, as it happened in the author’s case, since the authorities compared available individual circumstances to the general information relevant to the case</w:t>
      </w:r>
      <w:r w:rsidR="006D30B6" w:rsidRPr="00645F5F">
        <w:rPr>
          <w:rFonts w:eastAsia="Calibri"/>
        </w:rPr>
        <w:t xml:space="preserve">, including </w:t>
      </w:r>
      <w:r w:rsidR="00564384" w:rsidRPr="00645F5F">
        <w:rPr>
          <w:rFonts w:eastAsia="Calibri"/>
        </w:rPr>
        <w:t xml:space="preserve">on the Bulgarian asylum system. </w:t>
      </w:r>
    </w:p>
    <w:p w14:paraId="394754F2" w14:textId="6C997288" w:rsidR="00B032D5" w:rsidRPr="00645F5F" w:rsidRDefault="00564384" w:rsidP="004F61CC">
      <w:pPr>
        <w:pStyle w:val="SingleTxtG"/>
        <w:rPr>
          <w:rFonts w:eastAsia="Calibri"/>
        </w:rPr>
      </w:pPr>
      <w:r w:rsidRPr="00645F5F">
        <w:rPr>
          <w:rFonts w:eastAsia="Calibri"/>
        </w:rPr>
        <w:t>6.3</w:t>
      </w:r>
      <w:r w:rsidRPr="00645F5F">
        <w:rPr>
          <w:rFonts w:eastAsia="Calibri"/>
        </w:rPr>
        <w:tab/>
        <w:t xml:space="preserve">The State party claims that during the author’s asylum interview on 28 May 2016, he did not refer to any mistreatment suffered during his stay in Bulgaria, as concerning his health condition, he claimed to be healthy. It also rectified its earlier submission to the effect that </w:t>
      </w:r>
      <w:r w:rsidR="004E0101">
        <w:rPr>
          <w:rFonts w:eastAsia="Calibri"/>
        </w:rPr>
        <w:t>the author was interviewed only once which</w:t>
      </w:r>
      <w:r w:rsidRPr="00645F5F">
        <w:rPr>
          <w:rFonts w:eastAsia="Calibri"/>
        </w:rPr>
        <w:t xml:space="preserve"> does not have an effect on any of the arguments </w:t>
      </w:r>
      <w:r w:rsidR="007C47AC" w:rsidRPr="00645F5F">
        <w:rPr>
          <w:rFonts w:eastAsia="Calibri"/>
        </w:rPr>
        <w:t>in the previous observations. The State party drew attention to the relevant guidelines of the European Asylum Support Office, according to which applicants shall be given the opportunity to answer any questions concerning their flight and other circumstances during the asylum interview. In line with that, the author was asked open-ended and disguised questions, including questions regarding his health condition</w:t>
      </w:r>
      <w:r w:rsidR="00B032D5" w:rsidRPr="00645F5F">
        <w:rPr>
          <w:rFonts w:eastAsia="Calibri"/>
        </w:rPr>
        <w:t xml:space="preserve">. </w:t>
      </w:r>
      <w:r w:rsidR="007C47AC" w:rsidRPr="00645F5F">
        <w:rPr>
          <w:rFonts w:eastAsia="Calibri"/>
        </w:rPr>
        <w:t>Nevertheless, the author had never invoked any of his claims alleged in the present complaint.</w:t>
      </w:r>
      <w:r w:rsidR="00B032D5" w:rsidRPr="00645F5F">
        <w:rPr>
          <w:rFonts w:eastAsia="Calibri"/>
        </w:rPr>
        <w:t xml:space="preserve"> It emphasizes that the author did not mention his allegedly bad health condition (asthma, PTSD) in spite of the direct questions on this issue; such failure cannot be attributed to the asylum authority. Instead, it confirms that the author attempts to prevent the authority from implementing its decision on his transfer. </w:t>
      </w:r>
    </w:p>
    <w:p w14:paraId="6B27A16D" w14:textId="77777777" w:rsidR="00B032D5" w:rsidRPr="00645F5F" w:rsidRDefault="00B032D5" w:rsidP="004F61CC">
      <w:pPr>
        <w:pStyle w:val="SingleTxtG"/>
        <w:rPr>
          <w:rFonts w:eastAsia="Calibri"/>
        </w:rPr>
      </w:pPr>
      <w:r w:rsidRPr="00645F5F">
        <w:rPr>
          <w:rFonts w:eastAsia="Calibri"/>
        </w:rPr>
        <w:t>6.4</w:t>
      </w:r>
      <w:r w:rsidRPr="00645F5F">
        <w:rPr>
          <w:rFonts w:eastAsia="Calibri"/>
        </w:rPr>
        <w:tab/>
        <w:t xml:space="preserve">In light of the above, the State party objects to the author’s submission that the asylum authority could have identified his vulnerability. It also claims that when the conditions for the Dublin procedure are met, the Office is obliged to act accordingly. The asylum authority would have infringed the law, had it ignored its obligations as established by the European Union. </w:t>
      </w:r>
    </w:p>
    <w:p w14:paraId="0EE9DB12" w14:textId="6A660790" w:rsidR="0055343C" w:rsidRPr="00645F5F" w:rsidRDefault="00B032D5" w:rsidP="004F61CC">
      <w:pPr>
        <w:pStyle w:val="SingleTxtG"/>
        <w:rPr>
          <w:rFonts w:eastAsia="Calibri"/>
        </w:rPr>
      </w:pPr>
      <w:r w:rsidRPr="00645F5F">
        <w:rPr>
          <w:rFonts w:eastAsia="Calibri"/>
        </w:rPr>
        <w:t>6.5</w:t>
      </w:r>
      <w:r w:rsidRPr="00645F5F">
        <w:rPr>
          <w:rFonts w:eastAsia="Calibri"/>
        </w:rPr>
        <w:tab/>
        <w:t xml:space="preserve">Concerning the author’s claim that he had never been properly informed about the Dublin procedure, the State party draws attention to the same point of the complaint that the author was in possession of an information document on the Hungarian asylum procedure. The aforementioned statements by the author are contradictory. </w:t>
      </w:r>
      <w:r w:rsidR="0055343C" w:rsidRPr="00645F5F">
        <w:rPr>
          <w:rFonts w:eastAsia="Calibri"/>
        </w:rPr>
        <w:t xml:space="preserve">The author also had the right to ask further questions concerning the information </w:t>
      </w:r>
      <w:r w:rsidR="004E0101">
        <w:rPr>
          <w:rFonts w:eastAsia="Calibri"/>
        </w:rPr>
        <w:t xml:space="preserve">he was provided orally and in </w:t>
      </w:r>
      <w:r w:rsidR="006336FF">
        <w:rPr>
          <w:rFonts w:eastAsia="Calibri"/>
        </w:rPr>
        <w:t xml:space="preserve">writing. </w:t>
      </w:r>
      <w:r w:rsidR="0055343C" w:rsidRPr="00645F5F">
        <w:rPr>
          <w:rFonts w:eastAsia="Calibri"/>
        </w:rPr>
        <w:t xml:space="preserve">In case of a follow-up question, the author – after being informed – by signing the information </w:t>
      </w:r>
      <w:r w:rsidR="0055343C" w:rsidRPr="00645F5F">
        <w:rPr>
          <w:rFonts w:eastAsia="Calibri"/>
        </w:rPr>
        <w:lastRenderedPageBreak/>
        <w:t xml:space="preserve">sheet attests that he/she received a copy of the information sheet and that he/she took note of its content and does not wish to comment on it. The fact that the author did not wish to ask further questions or make any comments cannot be regarded as the Office’s failure. The author’s reasoning and conclusions cannot be regarded as well-founded. </w:t>
      </w:r>
    </w:p>
    <w:p w14:paraId="364F58F4" w14:textId="7DC95B09" w:rsidR="00A669F9" w:rsidRPr="00645F5F" w:rsidRDefault="0055343C" w:rsidP="004F61CC">
      <w:pPr>
        <w:pStyle w:val="SingleTxtG"/>
        <w:rPr>
          <w:rFonts w:eastAsia="Calibri"/>
        </w:rPr>
      </w:pPr>
      <w:r w:rsidRPr="00645F5F">
        <w:rPr>
          <w:rFonts w:eastAsia="Calibri"/>
        </w:rPr>
        <w:t>6.6</w:t>
      </w:r>
      <w:r w:rsidRPr="00645F5F">
        <w:rPr>
          <w:rFonts w:eastAsia="Calibri"/>
        </w:rPr>
        <w:tab/>
        <w:t>Regarding the author’s concerns on the review procedure of the transfer decision, in his appeal, the author had the opportunity to state the reasons for which Bulgaria should not be regarded as a safe country in his case. The author’s claim that the review procedure of the competent Metropolitan Court decision is ineffective</w:t>
      </w:r>
      <w:r w:rsidR="00BB41D2" w:rsidRPr="00645F5F">
        <w:rPr>
          <w:rFonts w:eastAsia="Calibri"/>
        </w:rPr>
        <w:t xml:space="preserve"> should be considered as </w:t>
      </w:r>
      <w:r w:rsidRPr="00645F5F">
        <w:rPr>
          <w:rFonts w:eastAsia="Calibri"/>
        </w:rPr>
        <w:t xml:space="preserve">ill-founded. During the procedure, the court examines all the relevant documents as its disposal, and if needed, conducts individual assessment on whether the Dublin transfer would violate any of the international, EU or internal legal provisions. </w:t>
      </w:r>
    </w:p>
    <w:p w14:paraId="25756494" w14:textId="4FEA5B6B" w:rsidR="00B6759C" w:rsidRPr="00645F5F" w:rsidRDefault="00A669F9" w:rsidP="004F61CC">
      <w:pPr>
        <w:pStyle w:val="SingleTxtG"/>
        <w:rPr>
          <w:rFonts w:eastAsia="Calibri"/>
        </w:rPr>
      </w:pPr>
      <w:r w:rsidRPr="00645F5F">
        <w:rPr>
          <w:rFonts w:eastAsia="Calibri"/>
        </w:rPr>
        <w:t>6.7</w:t>
      </w:r>
      <w:r w:rsidRPr="00645F5F">
        <w:rPr>
          <w:rFonts w:eastAsia="Calibri"/>
        </w:rPr>
        <w:tab/>
        <w:t xml:space="preserve">The State party emphasizes that once a Member State’s responsibility for examining the application for international protection is determined and the individual circumstances of the case do not require the asylum authority to act differently, the authority has no further obligations to conduct an individualized assessment, but it shall ensure the enforcement of the decision on transfer. Should a request for review not contain any </w:t>
      </w:r>
      <w:r w:rsidR="00BB41D2" w:rsidRPr="00645F5F">
        <w:rPr>
          <w:rFonts w:eastAsia="Calibri"/>
        </w:rPr>
        <w:t xml:space="preserve">new </w:t>
      </w:r>
      <w:r w:rsidRPr="00645F5F">
        <w:rPr>
          <w:rFonts w:eastAsia="Calibri"/>
        </w:rPr>
        <w:t xml:space="preserve">circumstances (based on which the case would necessitate a different outcome), the competent court upholds the decision of the asylum authority. </w:t>
      </w:r>
      <w:r w:rsidR="00774BC5" w:rsidRPr="00645F5F">
        <w:rPr>
          <w:rFonts w:eastAsia="Calibri"/>
        </w:rPr>
        <w:t xml:space="preserve">Since this is what happened in the present case, the decision of the Court shall be regarded reasonable and well-founded. </w:t>
      </w:r>
    </w:p>
    <w:p w14:paraId="694DB674" w14:textId="09B380A4" w:rsidR="00D86052" w:rsidRPr="00645F5F" w:rsidRDefault="00B6759C" w:rsidP="004F61CC">
      <w:pPr>
        <w:pStyle w:val="SingleTxtG"/>
        <w:rPr>
          <w:rFonts w:eastAsia="Calibri"/>
        </w:rPr>
      </w:pPr>
      <w:r w:rsidRPr="00645F5F">
        <w:rPr>
          <w:rFonts w:eastAsia="Calibri"/>
        </w:rPr>
        <w:t>6.8</w:t>
      </w:r>
      <w:r w:rsidRPr="00645F5F">
        <w:rPr>
          <w:rFonts w:eastAsia="Calibri"/>
        </w:rPr>
        <w:tab/>
        <w:t xml:space="preserve">In addition, the State party </w:t>
      </w:r>
      <w:r w:rsidR="00A87D07" w:rsidRPr="00645F5F">
        <w:rPr>
          <w:rFonts w:eastAsia="Calibri"/>
        </w:rPr>
        <w:t xml:space="preserve">affirms </w:t>
      </w:r>
      <w:r w:rsidRPr="00645F5F">
        <w:rPr>
          <w:rFonts w:eastAsia="Calibri"/>
        </w:rPr>
        <w:t>that there is no EU decision, according to which Bulgaria could not be considered as a safe country. Therefore, transfers to Bulgaria are being regularly implemented by Member States under the Dublin III Regulation. It also recalls that the author did not put forward any arguments, neither during the personal interview and the asylum procedure, nor the review procedure, claiming that Bulgaria is not a safe country in his case, which would have been essential for the Hungarian authorities to reach a different outcome in their decision.</w:t>
      </w:r>
    </w:p>
    <w:p w14:paraId="1F5104FB" w14:textId="35E096D1" w:rsidR="00684A82" w:rsidRPr="00645F5F" w:rsidRDefault="00D86052" w:rsidP="004F61CC">
      <w:pPr>
        <w:pStyle w:val="SingleTxtG"/>
        <w:rPr>
          <w:rFonts w:eastAsia="Calibri"/>
        </w:rPr>
      </w:pPr>
      <w:r w:rsidRPr="00645F5F">
        <w:rPr>
          <w:rFonts w:eastAsia="Calibri"/>
        </w:rPr>
        <w:t>6.9</w:t>
      </w:r>
      <w:r w:rsidRPr="00645F5F">
        <w:rPr>
          <w:rFonts w:eastAsia="Calibri"/>
        </w:rPr>
        <w:tab/>
        <w:t>Since the circumstances that would substantiate the alleged violation of the author’s rights were made only in the complaint submitted to the Committee, the State party questions the g</w:t>
      </w:r>
      <w:r w:rsidR="00A87D07" w:rsidRPr="00645F5F">
        <w:rPr>
          <w:rFonts w:eastAsia="Calibri"/>
        </w:rPr>
        <w:t>enuineness of those allegations. It c</w:t>
      </w:r>
      <w:r w:rsidRPr="00645F5F">
        <w:rPr>
          <w:rFonts w:eastAsia="Calibri"/>
        </w:rPr>
        <w:t>oncludes that Hungary cannot be made responsible for the author’s failure to inform the authorities about the circumstances he referred to in his complaint</w:t>
      </w:r>
      <w:r w:rsidR="00A87D07" w:rsidRPr="00645F5F">
        <w:rPr>
          <w:rFonts w:eastAsia="Calibri"/>
        </w:rPr>
        <w:t>,</w:t>
      </w:r>
      <w:r w:rsidRPr="00645F5F">
        <w:rPr>
          <w:rFonts w:eastAsia="Calibri"/>
        </w:rPr>
        <w:t xml:space="preserve"> be these allegations true or false. In light of the above, the State party is of the view that the alleged violations of the said articles of the Covenant are not well-founded, and the complaint should ther</w:t>
      </w:r>
      <w:r w:rsidR="009704FD">
        <w:rPr>
          <w:rFonts w:eastAsia="Calibri"/>
        </w:rPr>
        <w:t>efore be declared inadmissible.</w:t>
      </w:r>
    </w:p>
    <w:p w14:paraId="653F32FE" w14:textId="41167090" w:rsidR="000A168E" w:rsidRPr="00645F5F" w:rsidRDefault="0067314F" w:rsidP="00A20B1A">
      <w:pPr>
        <w:pStyle w:val="H23G"/>
        <w:ind w:left="0" w:firstLine="0"/>
      </w:pPr>
      <w:r w:rsidRPr="00645F5F">
        <w:tab/>
      </w:r>
      <w:r w:rsidRPr="00645F5F">
        <w:tab/>
      </w:r>
      <w:r w:rsidR="000A168E" w:rsidRPr="00645F5F">
        <w:t>Author’s comments on the State party’s observations</w:t>
      </w:r>
      <w:r w:rsidR="0065049B" w:rsidRPr="00645F5F">
        <w:t xml:space="preserve"> </w:t>
      </w:r>
    </w:p>
    <w:p w14:paraId="374A5530" w14:textId="612370AB" w:rsidR="0083077F" w:rsidRPr="00645F5F" w:rsidRDefault="0083077F" w:rsidP="00F25AD6">
      <w:pPr>
        <w:pStyle w:val="SingleTxtG"/>
      </w:pPr>
      <w:r w:rsidRPr="00645F5F">
        <w:t>7.1</w:t>
      </w:r>
      <w:r w:rsidRPr="00645F5F">
        <w:tab/>
        <w:t xml:space="preserve">On 27 November 2017, the author submitted his comments regarding </w:t>
      </w:r>
      <w:r w:rsidR="00A87D07" w:rsidRPr="00645F5F">
        <w:t xml:space="preserve">the </w:t>
      </w:r>
      <w:r w:rsidRPr="00645F5F">
        <w:t xml:space="preserve">admissibility and merits of the communication. </w:t>
      </w:r>
    </w:p>
    <w:p w14:paraId="6B5BCA42" w14:textId="51FDBC0E" w:rsidR="0083077F" w:rsidRPr="00645F5F" w:rsidRDefault="0083077F" w:rsidP="00F25AD6">
      <w:pPr>
        <w:pStyle w:val="SingleTxtG"/>
      </w:pPr>
      <w:r w:rsidRPr="00645F5F">
        <w:t>7.2</w:t>
      </w:r>
      <w:r w:rsidRPr="00645F5F">
        <w:tab/>
      </w:r>
      <w:r w:rsidR="00A87D07" w:rsidRPr="00645F5F">
        <w:t xml:space="preserve">As to </w:t>
      </w:r>
      <w:r w:rsidRPr="00645F5F">
        <w:t>the State party’s contention that the author had never referred to the alleged violation of his rights during the asylum procedure</w:t>
      </w:r>
      <w:r w:rsidR="00A87D07" w:rsidRPr="00645F5F">
        <w:t xml:space="preserve">, </w:t>
      </w:r>
      <w:r w:rsidRPr="00645F5F">
        <w:t xml:space="preserve">but only invoked them in the present complaint, the author reiterated that he had only one short interview so far, during which he was not asked any question in relation to Bulgaria or any relevant question regarding the Dublin procedure. Moreover, the </w:t>
      </w:r>
      <w:r w:rsidR="004E0101">
        <w:t xml:space="preserve">fact that the </w:t>
      </w:r>
      <w:r w:rsidRPr="00645F5F">
        <w:t>Office did not meet its obligation to properly inform the author about the Dublin procedure (article 4) and carry out an interview in relation to it (article 5), amount</w:t>
      </w:r>
      <w:r w:rsidR="004E0101">
        <w:t>ed</w:t>
      </w:r>
      <w:r w:rsidRPr="00645F5F">
        <w:t xml:space="preserve"> to the violation of the Dublin Regulation.</w:t>
      </w:r>
    </w:p>
    <w:p w14:paraId="5E6AF3BD" w14:textId="0777AB53" w:rsidR="00417E13" w:rsidRPr="00645F5F" w:rsidRDefault="00417E13" w:rsidP="00F25AD6">
      <w:pPr>
        <w:pStyle w:val="SingleTxtG"/>
      </w:pPr>
      <w:r w:rsidRPr="00645F5F">
        <w:t>7.3</w:t>
      </w:r>
      <w:r w:rsidRPr="00645F5F">
        <w:tab/>
        <w:t>On the merits, the author submits that the State party failed to provide any new legal reasoning as it only reiterated its arguments put forwar</w:t>
      </w:r>
      <w:r w:rsidRPr="00F25AD6">
        <w:rPr>
          <w:rStyle w:val="SingleTxtGChar"/>
        </w:rPr>
        <w:t>d in the previous observations, namely that the author failed to express his observations regarding</w:t>
      </w:r>
      <w:r w:rsidRPr="00645F5F">
        <w:t xml:space="preserve"> Bulgaria and that he did not reveal his mental health problem neither before the Office nor the Court</w:t>
      </w:r>
      <w:r w:rsidR="00A87D07" w:rsidRPr="00645F5F">
        <w:t xml:space="preserve">. He </w:t>
      </w:r>
      <w:r w:rsidRPr="00645F5F">
        <w:t>argues that the State party only generally referred to the Dublin Regulation</w:t>
      </w:r>
      <w:r w:rsidR="00555F42" w:rsidRPr="00645F5F">
        <w:t>. W</w:t>
      </w:r>
      <w:r w:rsidR="00A87D07" w:rsidRPr="00645F5F">
        <w:t xml:space="preserve">ithout </w:t>
      </w:r>
      <w:r w:rsidRPr="00645F5F">
        <w:t>giving evidence for complying with the relevant legal provisions</w:t>
      </w:r>
      <w:r w:rsidR="00555F42" w:rsidRPr="00645F5F">
        <w:t xml:space="preserve">, </w:t>
      </w:r>
      <w:r w:rsidRPr="00645F5F">
        <w:t xml:space="preserve">the argument cannot be considered as capable </w:t>
      </w:r>
      <w:r w:rsidRPr="00645F5F">
        <w:lastRenderedPageBreak/>
        <w:t>of ‘rebutting the author’s arguments’. The author also objected that he did not refer to ‘fact-finding missions’ but to ‘fact finding’ as an obligation of the Office based on Section 50 (1) of Act CXL of 2004 on the General Rules of Administrative Proceedings and Services.</w:t>
      </w:r>
      <w:r w:rsidR="00AE009A" w:rsidRPr="00645F5F">
        <w:rPr>
          <w:rStyle w:val="FootnoteReference"/>
        </w:rPr>
        <w:footnoteReference w:id="22"/>
      </w:r>
      <w:r w:rsidRPr="00645F5F">
        <w:t xml:space="preserve"> </w:t>
      </w:r>
    </w:p>
    <w:p w14:paraId="5AEE8A72" w14:textId="600D3812" w:rsidR="009161C4" w:rsidRPr="00645F5F" w:rsidRDefault="009161C4" w:rsidP="00F25AD6">
      <w:pPr>
        <w:pStyle w:val="SingleTxtG"/>
      </w:pPr>
      <w:r w:rsidRPr="00645F5F">
        <w:t>7.4</w:t>
      </w:r>
      <w:r w:rsidRPr="00645F5F">
        <w:tab/>
        <w:t>As for the State party’s assertions concerning individualized examination of the case, there was no indication in the files that the relevant authorities had conducted any examination regarding the available information on the Bulgarian asylum system. There was no reference to that</w:t>
      </w:r>
      <w:r w:rsidR="008713BB" w:rsidRPr="00645F5F">
        <w:t xml:space="preserve">, </w:t>
      </w:r>
      <w:r w:rsidRPr="00645F5F">
        <w:t xml:space="preserve">neither in the decision nor in the files of the case. </w:t>
      </w:r>
    </w:p>
    <w:p w14:paraId="39B2D832" w14:textId="06C083D8" w:rsidR="0083077F" w:rsidRPr="00645F5F" w:rsidRDefault="000139FB" w:rsidP="00F25AD6">
      <w:pPr>
        <w:pStyle w:val="SingleTxtG"/>
      </w:pPr>
      <w:r w:rsidRPr="00645F5F">
        <w:t>7.5</w:t>
      </w:r>
      <w:r w:rsidRPr="00645F5F">
        <w:tab/>
        <w:t>Concerning the lack of statements by the author about his poor mental health condition and experience in Bulgaria, the author reiterates that no questions w</w:t>
      </w:r>
      <w:r w:rsidRPr="00F25AD6">
        <w:rPr>
          <w:rStyle w:val="SingleTxtGChar"/>
        </w:rPr>
        <w:t>e</w:t>
      </w:r>
      <w:r w:rsidRPr="00645F5F">
        <w:t xml:space="preserve">re put forward to the author as regards Bulgaria, contrary to the Dublin Regulation. There was no appropriate identification of the author’s vulnerability (his health condition) either, as required by Section 3 (1) and (2) of the Government Decree no. 301/2007. The Office has therefore violated its obligation to properly assess the asylum seeker’s individual circumstances. </w:t>
      </w:r>
    </w:p>
    <w:p w14:paraId="228EB5D6" w14:textId="78A5B7A6" w:rsidR="000139FB" w:rsidRPr="00645F5F" w:rsidRDefault="000139FB" w:rsidP="00F25AD6">
      <w:pPr>
        <w:pStyle w:val="SingleTxtG"/>
      </w:pPr>
      <w:r w:rsidRPr="00645F5F">
        <w:t>7.6</w:t>
      </w:r>
      <w:r w:rsidRPr="00645F5F">
        <w:tab/>
        <w:t xml:space="preserve">In addition, a person suffering from PTSD is, by definition, not suited to give a detailed account on his mental disease without any psychological help. </w:t>
      </w:r>
      <w:r w:rsidR="004066C8" w:rsidRPr="00645F5F">
        <w:t>Not having trust towards the officer conducting the interview may make it impossible for a traumatised asylum seeker to reveal his or her psychological difficulties, provided that he or she is able to identify them in the first place. There are severa</w:t>
      </w:r>
      <w:r w:rsidR="004066C8" w:rsidRPr="00F25AD6">
        <w:rPr>
          <w:rStyle w:val="SingleTxtGChar"/>
        </w:rPr>
        <w:t>l</w:t>
      </w:r>
      <w:r w:rsidR="004066C8" w:rsidRPr="00645F5F">
        <w:t xml:space="preserve"> signs from which PTSD symptoms can be assessed (such as frequent headaches, flashbacks, sleeping disorders etc.); nonetheless</w:t>
      </w:r>
      <w:r w:rsidR="008713BB" w:rsidRPr="00645F5F">
        <w:t>,</w:t>
      </w:r>
      <w:r w:rsidR="007F00A9" w:rsidRPr="00645F5F">
        <w:t xml:space="preserve"> the authority failed to ask the relevant questions from the author and did not conduct any other procedure aiming to identify his potential vulnerability</w:t>
      </w:r>
      <w:r w:rsidR="000C084A" w:rsidRPr="00645F5F">
        <w:t xml:space="preserve">. The author refers to the background documents </w:t>
      </w:r>
      <w:r w:rsidR="00D95DE8" w:rsidRPr="00645F5F">
        <w:t xml:space="preserve">to submit that </w:t>
      </w:r>
      <w:r w:rsidR="000C084A" w:rsidRPr="00645F5F">
        <w:t xml:space="preserve">the protection needs of the asylum-seekers </w:t>
      </w:r>
      <w:r w:rsidR="008A58BA" w:rsidRPr="00645F5F">
        <w:t>are not systematically assessed.</w:t>
      </w:r>
      <w:r w:rsidR="000C084A" w:rsidRPr="00645F5F">
        <w:rPr>
          <w:rStyle w:val="FootnoteReference"/>
        </w:rPr>
        <w:footnoteReference w:id="23"/>
      </w:r>
      <w:r w:rsidR="004066C8" w:rsidRPr="00645F5F">
        <w:t xml:space="preserve"> </w:t>
      </w:r>
      <w:r w:rsidR="007E6CAB" w:rsidRPr="00645F5F">
        <w:t xml:space="preserve">Had the Office carried out the vulnerability identification procedure, it would have been able to assess the psychological need of the author. If the possibility of </w:t>
      </w:r>
      <w:r w:rsidR="00A11843" w:rsidRPr="00645F5F">
        <w:t xml:space="preserve">conducting a Dublin procedure is identified, the Office should conduct an early identification of persons with special needs and inform the applicant about the Dublin procedure in details, while taking into account the individual vulnerability of the applicant. Specific and targeted questions about countries where a transfer could potentially take place, i.e. Bulgaria, should also be asked. Subsequently, the Office should take all this into account when examining whether a decision on transfer to Bulgaria could indeed be issued. Consequently, the Office failed to act according to its legal obligations, resulting in the infringement of the EU law as well as the Covenant and the European Convention. </w:t>
      </w:r>
    </w:p>
    <w:p w14:paraId="715638E7" w14:textId="426EF58A" w:rsidR="00A66A91" w:rsidRPr="00645F5F" w:rsidRDefault="00A11843" w:rsidP="00F25AD6">
      <w:pPr>
        <w:pStyle w:val="SingleTxtG"/>
      </w:pPr>
      <w:r w:rsidRPr="00645F5F">
        <w:t>7.7</w:t>
      </w:r>
      <w:r w:rsidRPr="00645F5F">
        <w:tab/>
        <w:t xml:space="preserve">The author further objects to the misleading observations by the State party </w:t>
      </w:r>
      <w:r w:rsidR="00AF593E" w:rsidRPr="00645F5F">
        <w:t xml:space="preserve">which </w:t>
      </w:r>
      <w:r w:rsidRPr="00645F5F">
        <w:t>refer</w:t>
      </w:r>
      <w:r w:rsidR="00AF593E" w:rsidRPr="00645F5F">
        <w:t>s o</w:t>
      </w:r>
      <w:r w:rsidRPr="00645F5F">
        <w:t xml:space="preserve">nly to the information note given to the author during the asylum procedure but does not take into consideration the fact that information was provided exclusively in relation to the general questions of the Hungarian asylum procedure and it did not inform the author </w:t>
      </w:r>
      <w:r w:rsidR="00A66A91" w:rsidRPr="00645F5F">
        <w:t xml:space="preserve">about the Dublin procedure in details or about a potential transfer to Bulgaria. The right to be heard is enshrined in the Dublin Regulation (article 5), therefore the authorities cannot simply assume that the applicant had read and understood the given information leaflet. According to article 5, the aim of the personal hearing is to facilitate the process of determining the Member State responsible, and to allow the proper understanding of the information supplied. </w:t>
      </w:r>
    </w:p>
    <w:p w14:paraId="3158B824" w14:textId="1EB3A493" w:rsidR="00CE3990" w:rsidRPr="00645F5F" w:rsidRDefault="00A66A91" w:rsidP="00CE3990">
      <w:pPr>
        <w:spacing w:after="120"/>
        <w:ind w:left="1134" w:right="1134"/>
        <w:jc w:val="both"/>
      </w:pPr>
      <w:r w:rsidRPr="00645F5F">
        <w:t>7.8</w:t>
      </w:r>
      <w:r w:rsidRPr="00645F5F">
        <w:tab/>
        <w:t xml:space="preserve">During the review procedure carried out by the Court, the author had no legal assistance. Consequently, he could not have known what to submit to the court or what he should have </w:t>
      </w:r>
      <w:r w:rsidRPr="00F25AD6">
        <w:rPr>
          <w:rStyle w:val="SingleTxtGChar"/>
        </w:rPr>
        <w:t>highlighted.</w:t>
      </w:r>
      <w:r w:rsidRPr="00645F5F">
        <w:t xml:space="preserve"> He submits that the judicial review procedure is a non-litigious procedure (without oral hearing), which must be completed within eight days (section 49 (8) </w:t>
      </w:r>
      <w:r w:rsidRPr="00645F5F">
        <w:lastRenderedPageBreak/>
        <w:t xml:space="preserve">of the Asylum Act). </w:t>
      </w:r>
      <w:r w:rsidR="00CE3990" w:rsidRPr="00645F5F">
        <w:t>The review procedure raises serious questions, given that the request for a judicial review must be handed through an asylum authority, which forwards it to the Court with its comments on the case. With such a short deadline in place, the Court will be more inclined to adopt the legalistic arguments presented by the Of</w:t>
      </w:r>
      <w:r w:rsidR="00CE3990" w:rsidRPr="00F25AD6">
        <w:rPr>
          <w:rStyle w:val="SingleTxtGChar"/>
        </w:rPr>
        <w:t>f</w:t>
      </w:r>
      <w:r w:rsidR="00CE3990" w:rsidRPr="00645F5F">
        <w:t xml:space="preserve">ice rather than examine the case in depth. The present case clearly demonstrates how the current system of judicial review </w:t>
      </w:r>
      <w:r w:rsidR="00420893" w:rsidRPr="00645F5F">
        <w:t xml:space="preserve">of </w:t>
      </w:r>
      <w:r w:rsidR="00CE3990" w:rsidRPr="00645F5F">
        <w:t xml:space="preserve">Dublin decisions fails to uphold the principle of the equality of arms. It may therefore be concluded that the right to effective remedy, as required by article 2 (3) (a) of the Covenant was seriously violated. </w:t>
      </w:r>
    </w:p>
    <w:p w14:paraId="4EAB95FD" w14:textId="6C4579AA" w:rsidR="0042663C" w:rsidRPr="00645F5F" w:rsidRDefault="00632CF7" w:rsidP="00F25AD6">
      <w:pPr>
        <w:pStyle w:val="SingleTxtG"/>
      </w:pPr>
      <w:r w:rsidRPr="00645F5F">
        <w:t>7.9</w:t>
      </w:r>
      <w:r w:rsidRPr="00645F5F">
        <w:tab/>
      </w:r>
      <w:r w:rsidR="0082401B" w:rsidRPr="00645F5F">
        <w:t>Although there is indeed no EU decision, according to which Bulgaria could not be considered as a safe country, several Member States do halt returns to Bulgaria.</w:t>
      </w:r>
      <w:r w:rsidR="0082401B" w:rsidRPr="00645F5F">
        <w:rPr>
          <w:rStyle w:val="FootnoteReference"/>
        </w:rPr>
        <w:footnoteReference w:id="24"/>
      </w:r>
      <w:r w:rsidR="00916C6B" w:rsidRPr="00645F5F">
        <w:t xml:space="preserve"> </w:t>
      </w:r>
      <w:r w:rsidR="00420893" w:rsidRPr="00645F5F">
        <w:t xml:space="preserve">The author </w:t>
      </w:r>
      <w:r w:rsidR="00916C6B" w:rsidRPr="00645F5F">
        <w:t>also refers to the letter of the Directorate-General Home Affairs dated 6 July 2017 sent to the Bulgarian authorities with the subject “Measures of improvement of the Bulgarian asylum system”</w:t>
      </w:r>
      <w:r w:rsidR="003F29A4" w:rsidRPr="00645F5F">
        <w:t xml:space="preserve">, especially in relation to the identification of vulnerable asylum-seekers, </w:t>
      </w:r>
      <w:r w:rsidR="00420893" w:rsidRPr="00645F5F">
        <w:t xml:space="preserve">given </w:t>
      </w:r>
      <w:r w:rsidR="003F29A4" w:rsidRPr="00645F5F">
        <w:t>the low recognition rate and the systematic detention of Afghan asylum-seekers.</w:t>
      </w:r>
      <w:r w:rsidR="003F29A4" w:rsidRPr="00645F5F">
        <w:rPr>
          <w:rStyle w:val="FootnoteReference"/>
        </w:rPr>
        <w:footnoteReference w:id="25"/>
      </w:r>
      <w:r w:rsidR="003F29A4" w:rsidRPr="00645F5F">
        <w:t xml:space="preserve"> </w:t>
      </w:r>
    </w:p>
    <w:p w14:paraId="0FBB1053" w14:textId="5998A665" w:rsidR="00A11843" w:rsidRDefault="0042663C" w:rsidP="00F25AD6">
      <w:pPr>
        <w:pStyle w:val="SingleTxtG"/>
      </w:pPr>
      <w:r w:rsidRPr="00645F5F">
        <w:t>7.10</w:t>
      </w:r>
      <w:r w:rsidRPr="00645F5F">
        <w:tab/>
        <w:t>The author lastly submits that he is still suffering from PTSD and depressive symptoms. The latest psychiatric opinion issued on 8 November 2017</w:t>
      </w:r>
      <w:r w:rsidR="00430235" w:rsidRPr="00645F5F">
        <w:t xml:space="preserve"> </w:t>
      </w:r>
      <w:r w:rsidRPr="00645F5F">
        <w:t>indicates that “as a result of the extended uncertainty and feelings of incompetence, his psychotic symptoms remained, which results in the maintained need of regular psychotherapy and medication.”</w:t>
      </w:r>
      <w:r w:rsidR="00430235" w:rsidRPr="00645F5F">
        <w:rPr>
          <w:rStyle w:val="FootnoteReference"/>
        </w:rPr>
        <w:t xml:space="preserve"> </w:t>
      </w:r>
      <w:r w:rsidR="00430235" w:rsidRPr="00645F5F">
        <w:rPr>
          <w:rStyle w:val="FootnoteReference"/>
        </w:rPr>
        <w:footnoteReference w:id="26"/>
      </w:r>
      <w:r w:rsidR="00430235" w:rsidRPr="00645F5F">
        <w:t xml:space="preserve"> </w:t>
      </w:r>
      <w:r w:rsidR="001D5FF2" w:rsidRPr="00645F5F">
        <w:t>Finally, the author claims that</w:t>
      </w:r>
      <w:r w:rsidR="004239AC" w:rsidRPr="00645F5F">
        <w:t xml:space="preserve">, </w:t>
      </w:r>
      <w:r w:rsidR="001D5FF2" w:rsidRPr="00645F5F">
        <w:t xml:space="preserve">since the Hungarian authorities failed to secure effective guarantees to protect him against arbitrary removal to Bulgaria, taking into account that its authorities have not yet taken the responsibility to examine the </w:t>
      </w:r>
      <w:r w:rsidR="004239AC" w:rsidRPr="00645F5F">
        <w:t xml:space="preserve">author’s </w:t>
      </w:r>
      <w:r w:rsidR="001D5FF2" w:rsidRPr="00645F5F">
        <w:t>asylum claim under the Dublin Regulation</w:t>
      </w:r>
      <w:r w:rsidR="004239AC" w:rsidRPr="00645F5F">
        <w:t>, his rights guaranteed by article 7, and article 2 (3) (a) in compliance with article 7 of the Covenant were violated, and the author is still in danger to be exposed to inhuman or degrading treatment.</w:t>
      </w:r>
    </w:p>
    <w:p w14:paraId="2135D638" w14:textId="228DF832" w:rsidR="00AF593E" w:rsidRPr="00AF593E" w:rsidRDefault="00F25AD6" w:rsidP="00F25AD6">
      <w:pPr>
        <w:pStyle w:val="H23G"/>
      </w:pPr>
      <w:r>
        <w:tab/>
      </w:r>
      <w:r>
        <w:tab/>
      </w:r>
      <w:r w:rsidR="00AF593E" w:rsidRPr="00AF593E">
        <w:t xml:space="preserve">Author’s </w:t>
      </w:r>
      <w:r w:rsidR="009704FD">
        <w:t>additional comments</w:t>
      </w:r>
    </w:p>
    <w:p w14:paraId="5AF00BA4" w14:textId="361F9C6D" w:rsidR="00224FD4" w:rsidRDefault="00AF593E" w:rsidP="00F25AD6">
      <w:pPr>
        <w:pStyle w:val="SingleTxtG"/>
      </w:pPr>
      <w:r>
        <w:t>8.1</w:t>
      </w:r>
      <w:r>
        <w:tab/>
        <w:t>On 13 June 2018, the author sub</w:t>
      </w:r>
      <w:r w:rsidRPr="00F25AD6">
        <w:rPr>
          <w:rStyle w:val="SingleTxtGChar"/>
        </w:rPr>
        <w:t>m</w:t>
      </w:r>
      <w:r>
        <w:t>itted additional comments</w:t>
      </w:r>
      <w:r w:rsidR="00B72E60">
        <w:t xml:space="preserve">. </w:t>
      </w:r>
    </w:p>
    <w:p w14:paraId="5AC363E4" w14:textId="5D59A55D" w:rsidR="00224FD4" w:rsidRDefault="00224FD4" w:rsidP="00F25AD6">
      <w:pPr>
        <w:pStyle w:val="SingleTxtG"/>
      </w:pPr>
      <w:r>
        <w:t>8.2</w:t>
      </w:r>
      <w:r>
        <w:tab/>
      </w:r>
      <w:r w:rsidR="00AF593E">
        <w:t xml:space="preserve">He </w:t>
      </w:r>
      <w:r>
        <w:t xml:space="preserve">drew attention to the recent </w:t>
      </w:r>
      <w:r w:rsidR="00AF593E">
        <w:t xml:space="preserve">medical </w:t>
      </w:r>
      <w:r w:rsidR="00AF593E" w:rsidRPr="00F25AD6">
        <w:rPr>
          <w:rStyle w:val="SingleTxtGChar"/>
        </w:rPr>
        <w:t xml:space="preserve">documentation </w:t>
      </w:r>
      <w:r w:rsidRPr="00F25AD6">
        <w:rPr>
          <w:rStyle w:val="SingleTxtGChar"/>
        </w:rPr>
        <w:t xml:space="preserve">on the deteriorating state of his mental </w:t>
      </w:r>
      <w:r w:rsidR="00B72E60" w:rsidRPr="00F25AD6">
        <w:rPr>
          <w:rStyle w:val="SingleTxtGChar"/>
        </w:rPr>
        <w:t xml:space="preserve">and physical </w:t>
      </w:r>
      <w:r w:rsidRPr="00F25AD6">
        <w:rPr>
          <w:rStyle w:val="SingleTxtGChar"/>
        </w:rPr>
        <w:t xml:space="preserve">health </w:t>
      </w:r>
      <w:r w:rsidR="00AF593E" w:rsidRPr="00F25AD6">
        <w:rPr>
          <w:rStyle w:val="SingleTxtGChar"/>
        </w:rPr>
        <w:t>since the Immigration</w:t>
      </w:r>
      <w:r w:rsidR="00AF593E">
        <w:t xml:space="preserve"> and Asylum Office intends to carry out his deportation to Bulgaria despite the risk of inhuman and degrading treatment there. According to the </w:t>
      </w:r>
      <w:r>
        <w:t xml:space="preserve">medical </w:t>
      </w:r>
      <w:r w:rsidR="00AF593E">
        <w:t>certificate</w:t>
      </w:r>
      <w:r w:rsidR="002B431A">
        <w:t xml:space="preserve"> of 10 April 2018, </w:t>
      </w:r>
      <w:r w:rsidR="00AF593E">
        <w:t xml:space="preserve">the author is </w:t>
      </w:r>
      <w:r w:rsidR="002B431A">
        <w:t>in need of continuous psychological and medical treatment, frequency of which had to be increased</w:t>
      </w:r>
      <w:r>
        <w:t xml:space="preserve">. </w:t>
      </w:r>
      <w:r w:rsidR="002B431A">
        <w:t xml:space="preserve">The opinion </w:t>
      </w:r>
      <w:r w:rsidR="00B72E60">
        <w:t xml:space="preserve">points to </w:t>
      </w:r>
      <w:r w:rsidR="002B431A">
        <w:t>the report</w:t>
      </w:r>
      <w:r w:rsidR="00B72E60">
        <w:t xml:space="preserve">ed </w:t>
      </w:r>
      <w:r w:rsidR="002B431A">
        <w:t xml:space="preserve">lack of appetite, loss of weight, somatic headaches, sleep deprivation and diminished concentration, </w:t>
      </w:r>
      <w:r w:rsidR="006E4E8F">
        <w:t xml:space="preserve">while </w:t>
      </w:r>
      <w:r w:rsidR="002B431A">
        <w:t>conclud</w:t>
      </w:r>
      <w:r w:rsidR="006E4E8F">
        <w:t xml:space="preserve">ing </w:t>
      </w:r>
      <w:r w:rsidR="002B431A">
        <w:t>that symptoms of depression are clearly detectable.</w:t>
      </w:r>
      <w:r w:rsidR="006E4E8F">
        <w:rPr>
          <w:rStyle w:val="FootnoteReference"/>
        </w:rPr>
        <w:footnoteReference w:id="27"/>
      </w:r>
      <w:r w:rsidR="002B431A">
        <w:t xml:space="preserve"> </w:t>
      </w:r>
      <w:r w:rsidR="001F23F2">
        <w:t xml:space="preserve">Besides the mental health problems, the author has been treated for a continuous pain in this shoulder which stems from the psychological disorder </w:t>
      </w:r>
      <w:r w:rsidR="00D61988">
        <w:t xml:space="preserve">the </w:t>
      </w:r>
      <w:r w:rsidR="001F23F2">
        <w:t>author was diagnosed with.</w:t>
      </w:r>
      <w:r w:rsidR="001F23F2">
        <w:rPr>
          <w:rStyle w:val="FootnoteReference"/>
        </w:rPr>
        <w:footnoteReference w:id="28"/>
      </w:r>
      <w:r w:rsidR="002B431A">
        <w:t xml:space="preserve"> </w:t>
      </w:r>
      <w:r>
        <w:t xml:space="preserve">The author submits that he drew the above mentioned medical certificates to the attention of the Office on 5 and 13 April 2018. </w:t>
      </w:r>
    </w:p>
    <w:p w14:paraId="6742A230" w14:textId="26AE4FA7" w:rsidR="00DF48BD" w:rsidRDefault="00224FD4" w:rsidP="00971823">
      <w:pPr>
        <w:spacing w:after="120"/>
        <w:ind w:left="1134" w:right="1134"/>
        <w:jc w:val="both"/>
      </w:pPr>
      <w:r>
        <w:t>8.3</w:t>
      </w:r>
      <w:r>
        <w:tab/>
      </w:r>
      <w:r w:rsidR="0015311A">
        <w:t xml:space="preserve">The author </w:t>
      </w:r>
      <w:r w:rsidR="00B72E60">
        <w:t xml:space="preserve">drew </w:t>
      </w:r>
      <w:r w:rsidR="0015311A">
        <w:t xml:space="preserve">the Committee’s attention </w:t>
      </w:r>
      <w:r w:rsidR="004749D9">
        <w:t xml:space="preserve">to </w:t>
      </w:r>
      <w:r w:rsidR="0015311A">
        <w:t>the recent publicly available reports on the Bulgarian reception conditions as regard</w:t>
      </w:r>
      <w:r w:rsidR="00B72E60">
        <w:t xml:space="preserve">s asylum </w:t>
      </w:r>
      <w:r w:rsidR="0015311A">
        <w:t xml:space="preserve">seekers having serious mental disorders. </w:t>
      </w:r>
      <w:r w:rsidR="00391BFB">
        <w:t>The reports indicate inade</w:t>
      </w:r>
      <w:r w:rsidR="00391BFB" w:rsidRPr="00F25AD6">
        <w:rPr>
          <w:rStyle w:val="SingleTxtGChar"/>
        </w:rPr>
        <w:t>q</w:t>
      </w:r>
      <w:r w:rsidR="00391BFB">
        <w:t>uate hygiene and sanitation and interruptions in the provision of medical and interpretation services at refugee facilities</w:t>
      </w:r>
      <w:r w:rsidR="00B72E60">
        <w:t xml:space="preserve">; </w:t>
      </w:r>
      <w:r w:rsidR="00391BFB">
        <w:t xml:space="preserve">the absence of </w:t>
      </w:r>
      <w:r w:rsidR="00391BFB">
        <w:lastRenderedPageBreak/>
        <w:t>accommodation for persons with limited mobility</w:t>
      </w:r>
      <w:r w:rsidR="00B72E60" w:rsidRPr="00B72E60">
        <w:t xml:space="preserve"> in the centres</w:t>
      </w:r>
      <w:r w:rsidR="00B72E60">
        <w:t xml:space="preserve">, as well as </w:t>
      </w:r>
      <w:r w:rsidR="00391BFB">
        <w:t>for asylum seekers with visual, mental or psychological disabilities</w:t>
      </w:r>
      <w:r w:rsidR="00B72E60">
        <w:t>;</w:t>
      </w:r>
      <w:r w:rsidR="00E53AD1">
        <w:rPr>
          <w:rStyle w:val="FootnoteReference"/>
        </w:rPr>
        <w:footnoteReference w:id="29"/>
      </w:r>
      <w:r w:rsidR="00391BFB">
        <w:t xml:space="preserve"> and absence of guidelines or practice to accommodate the specific needs of vulnerable groups and lack of availability of special conditions for treatment of torture victims and persons suffering mental health problems.</w:t>
      </w:r>
      <w:r w:rsidR="004F0305">
        <w:rPr>
          <w:rStyle w:val="FootnoteReference"/>
        </w:rPr>
        <w:footnoteReference w:id="30"/>
      </w:r>
      <w:r w:rsidR="00391BFB">
        <w:t xml:space="preserve"> </w:t>
      </w:r>
      <w:r w:rsidR="00B72E60">
        <w:t xml:space="preserve">Further </w:t>
      </w:r>
      <w:r w:rsidR="0092669D">
        <w:t xml:space="preserve">reports </w:t>
      </w:r>
      <w:r w:rsidR="00B72E60">
        <w:t xml:space="preserve">emphasize </w:t>
      </w:r>
      <w:r w:rsidR="0092669D">
        <w:t xml:space="preserve">that </w:t>
      </w:r>
      <w:r w:rsidR="0092669D" w:rsidRPr="0092669D">
        <w:t xml:space="preserve">access </w:t>
      </w:r>
      <w:r w:rsidR="0092669D">
        <w:t xml:space="preserve">of asylum seekers </w:t>
      </w:r>
      <w:r w:rsidR="0092669D" w:rsidRPr="0092669D">
        <w:t xml:space="preserve">to health treatment </w:t>
      </w:r>
      <w:r w:rsidR="0092669D">
        <w:t xml:space="preserve">in Bulgaria is seriously restricted, </w:t>
      </w:r>
      <w:r w:rsidR="0092669D" w:rsidRPr="0092669D">
        <w:t xml:space="preserve">despite being entitled to the same scope of medical treatment as nationals, </w:t>
      </w:r>
      <w:r w:rsidR="0092669D">
        <w:t xml:space="preserve">due to the lack of medical personnel being employed in receptions centres. Bulgaria is an example of a country with a discrepancy between the highest standard </w:t>
      </w:r>
      <w:r w:rsidR="00B72E60">
        <w:t xml:space="preserve">of health </w:t>
      </w:r>
      <w:r w:rsidR="0092669D">
        <w:t>for asylum seekers guaranteed by law and the lack of access to mental health care in practice.</w:t>
      </w:r>
      <w:r w:rsidR="00116051">
        <w:rPr>
          <w:rStyle w:val="FootnoteReference"/>
        </w:rPr>
        <w:footnoteReference w:id="31"/>
      </w:r>
      <w:r w:rsidR="0092669D">
        <w:t xml:space="preserve"> </w:t>
      </w:r>
    </w:p>
    <w:p w14:paraId="5F307750" w14:textId="1A360DA4" w:rsidR="00AF593E" w:rsidRDefault="00DF48BD" w:rsidP="00F25AD6">
      <w:pPr>
        <w:pStyle w:val="SingleTxtG"/>
      </w:pPr>
      <w:r>
        <w:t>8.4</w:t>
      </w:r>
      <w:r>
        <w:tab/>
        <w:t xml:space="preserve">The author maintains that the Hungarian </w:t>
      </w:r>
      <w:r w:rsidR="00B72E60">
        <w:t xml:space="preserve">authorities have failed to fulfil </w:t>
      </w:r>
      <w:r>
        <w:t>their obligation to furnish effective guarantees to protect the author against arbitrary removal to Bulgaria, resulting in the violation of article 7 and article 2 (3) (a), in conjunction with article 7 of the Covenant.</w:t>
      </w:r>
      <w:r w:rsidR="00AF593E">
        <w:t xml:space="preserve"> </w:t>
      </w:r>
    </w:p>
    <w:p w14:paraId="51029AE6" w14:textId="77777777" w:rsidR="00D35AD9" w:rsidRDefault="000A168E" w:rsidP="00D35AD9">
      <w:pPr>
        <w:pStyle w:val="H23G"/>
        <w:spacing w:before="120"/>
        <w:ind w:left="0" w:firstLine="0"/>
        <w:jc w:val="both"/>
      </w:pPr>
      <w:r>
        <w:tab/>
      </w:r>
      <w:r>
        <w:tab/>
      </w:r>
      <w:r w:rsidR="00FA222B" w:rsidRPr="00214E11">
        <w:t>Issues and proceedings before the Committee</w:t>
      </w:r>
    </w:p>
    <w:p w14:paraId="1BE0B01A" w14:textId="02CDC276" w:rsidR="005901A4" w:rsidRPr="00D35AD9" w:rsidRDefault="00D35AD9" w:rsidP="00D35AD9">
      <w:pPr>
        <w:pStyle w:val="H23G"/>
        <w:spacing w:before="120"/>
        <w:ind w:left="0" w:firstLine="0"/>
        <w:jc w:val="both"/>
        <w:rPr>
          <w:b w:val="0"/>
          <w:i/>
        </w:rPr>
      </w:pPr>
      <w:r>
        <w:tab/>
      </w:r>
      <w:r>
        <w:tab/>
      </w:r>
      <w:r w:rsidR="005901A4" w:rsidRPr="00D35AD9">
        <w:rPr>
          <w:b w:val="0"/>
          <w:i/>
        </w:rPr>
        <w:t>Consideration of admissibility</w:t>
      </w:r>
    </w:p>
    <w:p w14:paraId="1A8B86E7" w14:textId="58E0588C" w:rsidR="00B941F2" w:rsidRPr="00B941F2" w:rsidRDefault="00B941F2" w:rsidP="00F25AD6">
      <w:pPr>
        <w:pStyle w:val="SingleTxtG"/>
      </w:pPr>
      <w:r>
        <w:t>9</w:t>
      </w:r>
      <w:r w:rsidRPr="00B941F2">
        <w:t>.1</w:t>
      </w:r>
      <w:r w:rsidRPr="00B941F2">
        <w:tab/>
        <w:t xml:space="preserve">Before considering any claim contained in a communication, the Committee must decide, in accordance with article 93 of its rules of procedure, whether the communication is admissible under the Optional Protocol to the Covenant. </w:t>
      </w:r>
    </w:p>
    <w:p w14:paraId="75C30B4E" w14:textId="0F56E610" w:rsidR="00B941F2" w:rsidRPr="00B941F2" w:rsidRDefault="00B941F2" w:rsidP="00B941F2">
      <w:pPr>
        <w:spacing w:after="120"/>
        <w:ind w:left="1134" w:right="1134"/>
        <w:jc w:val="both"/>
        <w:rPr>
          <w:rFonts w:eastAsia="Times New Roman"/>
        </w:rPr>
      </w:pPr>
      <w:r>
        <w:rPr>
          <w:rFonts w:eastAsia="Times New Roman"/>
        </w:rPr>
        <w:t>9</w:t>
      </w:r>
      <w:r w:rsidRPr="00B941F2">
        <w:rPr>
          <w:rFonts w:eastAsia="Times New Roman"/>
        </w:rPr>
        <w:t>.2</w:t>
      </w:r>
      <w:r w:rsidRPr="00B941F2">
        <w:rPr>
          <w:rFonts w:eastAsia="Times New Roman"/>
        </w:rPr>
        <w:tab/>
      </w:r>
      <w:r>
        <w:rPr>
          <w:rFonts w:eastAsia="Times New Roman"/>
        </w:rPr>
        <w:t>The Committee has ascertained, a</w:t>
      </w:r>
      <w:r w:rsidRPr="00B941F2">
        <w:rPr>
          <w:rFonts w:eastAsia="Times New Roman"/>
        </w:rPr>
        <w:t xml:space="preserve">s </w:t>
      </w:r>
      <w:r w:rsidRPr="00F25AD6">
        <w:rPr>
          <w:rStyle w:val="SingleTxtGChar"/>
        </w:rPr>
        <w:t>required under article 5 (2) (a) of the Optional Protocol, that the same matter is not being examined</w:t>
      </w:r>
      <w:r w:rsidRPr="00B941F2">
        <w:rPr>
          <w:rFonts w:eastAsia="Times New Roman"/>
        </w:rPr>
        <w:t xml:space="preserve"> under another procedure of international investigation or settlement.</w:t>
      </w:r>
    </w:p>
    <w:p w14:paraId="5695A2CD" w14:textId="27246D8D" w:rsidR="00B941F2" w:rsidRPr="00B941F2" w:rsidRDefault="00B941F2" w:rsidP="00B941F2">
      <w:pPr>
        <w:spacing w:after="120"/>
        <w:ind w:left="1134" w:right="1134"/>
        <w:jc w:val="both"/>
        <w:rPr>
          <w:rFonts w:eastAsia="Times New Roman"/>
        </w:rPr>
      </w:pPr>
      <w:r>
        <w:rPr>
          <w:rFonts w:eastAsia="Times New Roman"/>
        </w:rPr>
        <w:t>9</w:t>
      </w:r>
      <w:r w:rsidRPr="00B941F2">
        <w:rPr>
          <w:rFonts w:eastAsia="Times New Roman"/>
        </w:rPr>
        <w:t>.3</w:t>
      </w:r>
      <w:r w:rsidRPr="00B941F2">
        <w:rPr>
          <w:rFonts w:eastAsia="Times New Roman"/>
        </w:rPr>
        <w:tab/>
        <w:t xml:space="preserve">The Committee notes </w:t>
      </w:r>
      <w:r w:rsidR="00373C16">
        <w:rPr>
          <w:rFonts w:eastAsia="Times New Roman"/>
        </w:rPr>
        <w:t xml:space="preserve">that the State party has not </w:t>
      </w:r>
      <w:r w:rsidR="008810E4">
        <w:rPr>
          <w:rFonts w:eastAsia="Times New Roman"/>
        </w:rPr>
        <w:t xml:space="preserve">expressly </w:t>
      </w:r>
      <w:r w:rsidR="00373C16">
        <w:rPr>
          <w:rFonts w:eastAsia="Times New Roman"/>
        </w:rPr>
        <w:t>objected to the admissibility of the communication under article 5 (2) (b) of the Optional Protocol</w:t>
      </w:r>
      <w:r w:rsidR="008352EB">
        <w:rPr>
          <w:rFonts w:eastAsia="Times New Roman"/>
        </w:rPr>
        <w:t xml:space="preserve">, although it held that the </w:t>
      </w:r>
      <w:r w:rsidR="008810E4" w:rsidRPr="008810E4">
        <w:rPr>
          <w:rFonts w:eastAsia="Times New Roman"/>
        </w:rPr>
        <w:t xml:space="preserve">author </w:t>
      </w:r>
      <w:r w:rsidR="008352EB">
        <w:rPr>
          <w:rFonts w:eastAsia="Times New Roman"/>
        </w:rPr>
        <w:t xml:space="preserve">had failed to raise </w:t>
      </w:r>
      <w:r w:rsidR="008810E4" w:rsidRPr="008810E4">
        <w:rPr>
          <w:rFonts w:eastAsia="Times New Roman"/>
        </w:rPr>
        <w:t xml:space="preserve">the alleged violation of his rights during the </w:t>
      </w:r>
      <w:r w:rsidR="008352EB">
        <w:rPr>
          <w:rFonts w:eastAsia="Times New Roman"/>
        </w:rPr>
        <w:t xml:space="preserve">domestic </w:t>
      </w:r>
      <w:r w:rsidR="008810E4" w:rsidRPr="008810E4">
        <w:rPr>
          <w:rFonts w:eastAsia="Times New Roman"/>
        </w:rPr>
        <w:t xml:space="preserve">asylum procedure </w:t>
      </w:r>
      <w:r w:rsidR="008352EB">
        <w:rPr>
          <w:rFonts w:eastAsia="Times New Roman"/>
        </w:rPr>
        <w:t xml:space="preserve">and </w:t>
      </w:r>
      <w:r w:rsidR="008810E4" w:rsidRPr="008810E4">
        <w:rPr>
          <w:rFonts w:eastAsia="Times New Roman"/>
        </w:rPr>
        <w:t xml:space="preserve">invoked them </w:t>
      </w:r>
      <w:r w:rsidR="008352EB">
        <w:rPr>
          <w:rFonts w:eastAsia="Times New Roman"/>
        </w:rPr>
        <w:t xml:space="preserve">only </w:t>
      </w:r>
      <w:r w:rsidR="008810E4" w:rsidRPr="008810E4">
        <w:rPr>
          <w:rFonts w:eastAsia="Times New Roman"/>
        </w:rPr>
        <w:t>in the present com</w:t>
      </w:r>
      <w:r w:rsidR="008352EB">
        <w:rPr>
          <w:rFonts w:eastAsia="Times New Roman"/>
        </w:rPr>
        <w:t>munication</w:t>
      </w:r>
      <w:r w:rsidR="00756CD0">
        <w:rPr>
          <w:rFonts w:eastAsia="Times New Roman"/>
        </w:rPr>
        <w:t xml:space="preserve">, contesting the application of the Dublin Regulation </w:t>
      </w:r>
      <w:r w:rsidR="008352EB">
        <w:rPr>
          <w:rFonts w:eastAsia="Times New Roman"/>
        </w:rPr>
        <w:t>(para. 4.2)</w:t>
      </w:r>
      <w:r w:rsidR="00373C16">
        <w:rPr>
          <w:rFonts w:eastAsia="Times New Roman"/>
        </w:rPr>
        <w:t xml:space="preserve">. It also observes that the author appealed against the negative decision </w:t>
      </w:r>
      <w:r w:rsidR="00C86C91">
        <w:rPr>
          <w:rFonts w:eastAsia="Times New Roman"/>
        </w:rPr>
        <w:t>of the Immigrat</w:t>
      </w:r>
      <w:r w:rsidR="00C86C91" w:rsidRPr="00F25AD6">
        <w:rPr>
          <w:rStyle w:val="SingleTxtGChar"/>
        </w:rPr>
        <w:t>io</w:t>
      </w:r>
      <w:r w:rsidR="00C86C91">
        <w:rPr>
          <w:rFonts w:eastAsia="Times New Roman"/>
        </w:rPr>
        <w:t xml:space="preserve">n and Asylum Office </w:t>
      </w:r>
      <w:r w:rsidR="00373C16">
        <w:rPr>
          <w:rFonts w:eastAsia="Times New Roman"/>
        </w:rPr>
        <w:t>on his asylum application to the M</w:t>
      </w:r>
      <w:r w:rsidR="00C86C91">
        <w:rPr>
          <w:rFonts w:eastAsia="Times New Roman"/>
        </w:rPr>
        <w:t xml:space="preserve">etropolitan </w:t>
      </w:r>
      <w:r w:rsidR="00373C16">
        <w:rPr>
          <w:rFonts w:eastAsia="Times New Roman"/>
        </w:rPr>
        <w:t>Court</w:t>
      </w:r>
      <w:r w:rsidR="00C86C91">
        <w:rPr>
          <w:rFonts w:eastAsia="Times New Roman"/>
        </w:rPr>
        <w:t xml:space="preserve">, </w:t>
      </w:r>
      <w:r w:rsidR="00373C16">
        <w:rPr>
          <w:rFonts w:eastAsia="Times New Roman"/>
        </w:rPr>
        <w:t xml:space="preserve">which dismissed the appeal on </w:t>
      </w:r>
      <w:r w:rsidR="00C86C91">
        <w:rPr>
          <w:rFonts w:eastAsia="Times New Roman"/>
        </w:rPr>
        <w:t>17 October 2016</w:t>
      </w:r>
      <w:r w:rsidR="00373C16">
        <w:rPr>
          <w:rFonts w:eastAsia="Times New Roman"/>
        </w:rPr>
        <w:t>. Since the decisions of the M</w:t>
      </w:r>
      <w:r w:rsidR="006336FF">
        <w:rPr>
          <w:rFonts w:eastAsia="Times New Roman"/>
        </w:rPr>
        <w:t xml:space="preserve">etropolitan </w:t>
      </w:r>
      <w:r w:rsidR="00373C16">
        <w:rPr>
          <w:rFonts w:eastAsia="Times New Roman"/>
        </w:rPr>
        <w:t xml:space="preserve">Court cannot be appealed, no further remedies are available </w:t>
      </w:r>
      <w:r w:rsidR="00373C16">
        <w:rPr>
          <w:rFonts w:eastAsia="Times New Roman"/>
        </w:rPr>
        <w:lastRenderedPageBreak/>
        <w:t xml:space="preserve">to the author. </w:t>
      </w:r>
      <w:r w:rsidR="00C86C91">
        <w:rPr>
          <w:rFonts w:eastAsia="Times New Roman"/>
        </w:rPr>
        <w:t xml:space="preserve">Accordingly, the </w:t>
      </w:r>
      <w:r w:rsidRPr="00B941F2">
        <w:rPr>
          <w:rFonts w:eastAsia="Times New Roman"/>
        </w:rPr>
        <w:t>Committee considers that the requirements of article 5 (2) (b) of the Optional Protocol have been met.</w:t>
      </w:r>
    </w:p>
    <w:p w14:paraId="459368DD" w14:textId="36806D91" w:rsidR="00B941F2" w:rsidRPr="00B941F2" w:rsidRDefault="00B941F2" w:rsidP="00B941F2">
      <w:pPr>
        <w:spacing w:after="120"/>
        <w:ind w:left="1134" w:right="1134"/>
        <w:jc w:val="both"/>
        <w:rPr>
          <w:rFonts w:eastAsia="Times New Roman"/>
        </w:rPr>
      </w:pPr>
      <w:r>
        <w:rPr>
          <w:rFonts w:eastAsia="Times New Roman"/>
        </w:rPr>
        <w:t>9</w:t>
      </w:r>
      <w:r w:rsidRPr="00B941F2">
        <w:rPr>
          <w:rFonts w:eastAsia="Times New Roman"/>
        </w:rPr>
        <w:t>.4</w:t>
      </w:r>
      <w:r w:rsidRPr="00B941F2">
        <w:rPr>
          <w:rFonts w:eastAsia="Times New Roman"/>
        </w:rPr>
        <w:tab/>
        <w:t>The Committee notes the State party’s challenge to the admissibility of the communication on the grounds that the author’s claims under article 7</w:t>
      </w:r>
      <w:r>
        <w:rPr>
          <w:rFonts w:eastAsia="Times New Roman"/>
        </w:rPr>
        <w:t xml:space="preserve"> alone, and in conjunction with article 2 (3) (a)</w:t>
      </w:r>
      <w:r w:rsidRPr="00B941F2">
        <w:rPr>
          <w:rFonts w:eastAsia="Times New Roman"/>
        </w:rPr>
        <w:t xml:space="preserve"> of the Covenant</w:t>
      </w:r>
      <w:r w:rsidR="001D6116">
        <w:rPr>
          <w:rFonts w:eastAsia="Times New Roman"/>
        </w:rPr>
        <w:t xml:space="preserve">, </w:t>
      </w:r>
      <w:r w:rsidRPr="00B941F2">
        <w:rPr>
          <w:rFonts w:eastAsia="Times New Roman"/>
        </w:rPr>
        <w:t xml:space="preserve">are manifestly ill-founded. </w:t>
      </w:r>
      <w:r w:rsidR="001D6116" w:rsidRPr="001D6116">
        <w:rPr>
          <w:rFonts w:eastAsia="Times New Roman"/>
        </w:rPr>
        <w:t>The Committee</w:t>
      </w:r>
      <w:r w:rsidR="00C86C91">
        <w:rPr>
          <w:rFonts w:eastAsia="Times New Roman"/>
        </w:rPr>
        <w:t xml:space="preserve">, </w:t>
      </w:r>
      <w:r w:rsidR="001D6116" w:rsidRPr="001D6116">
        <w:rPr>
          <w:rFonts w:eastAsia="Times New Roman"/>
        </w:rPr>
        <w:t>however</w:t>
      </w:r>
      <w:r w:rsidR="00C86C91">
        <w:rPr>
          <w:rFonts w:eastAsia="Times New Roman"/>
        </w:rPr>
        <w:t xml:space="preserve">, </w:t>
      </w:r>
      <w:r w:rsidR="001D6116" w:rsidRPr="001D6116">
        <w:rPr>
          <w:rFonts w:eastAsia="Times New Roman"/>
        </w:rPr>
        <w:t xml:space="preserve">considers that the author has </w:t>
      </w:r>
      <w:r w:rsidR="001D6116" w:rsidRPr="00F25AD6">
        <w:rPr>
          <w:rStyle w:val="SingleTxtGChar"/>
        </w:rPr>
        <w:t>r</w:t>
      </w:r>
      <w:r w:rsidR="001D6116" w:rsidRPr="001D6116">
        <w:rPr>
          <w:rFonts w:eastAsia="Times New Roman"/>
        </w:rPr>
        <w:t>aised numerous risk factors</w:t>
      </w:r>
      <w:r w:rsidR="001D6116">
        <w:rPr>
          <w:rFonts w:eastAsia="Times New Roman"/>
        </w:rPr>
        <w:t xml:space="preserve"> and </w:t>
      </w:r>
      <w:r w:rsidR="00C86C91" w:rsidRPr="00C86C91">
        <w:rPr>
          <w:rFonts w:eastAsia="Times New Roman"/>
        </w:rPr>
        <w:t xml:space="preserve">potential </w:t>
      </w:r>
      <w:r w:rsidR="001D6116">
        <w:rPr>
          <w:rFonts w:eastAsia="Times New Roman"/>
        </w:rPr>
        <w:t xml:space="preserve">errors </w:t>
      </w:r>
      <w:r w:rsidR="00373C16">
        <w:rPr>
          <w:rFonts w:eastAsia="Times New Roman"/>
        </w:rPr>
        <w:t xml:space="preserve">during the </w:t>
      </w:r>
      <w:r w:rsidR="001D6116">
        <w:rPr>
          <w:rFonts w:eastAsia="Times New Roman"/>
        </w:rPr>
        <w:t xml:space="preserve">domestic </w:t>
      </w:r>
      <w:r w:rsidR="00373C16">
        <w:rPr>
          <w:rFonts w:eastAsia="Times New Roman"/>
        </w:rPr>
        <w:t xml:space="preserve">asylum and court </w:t>
      </w:r>
      <w:r w:rsidR="001D6116">
        <w:rPr>
          <w:rFonts w:eastAsia="Times New Roman"/>
        </w:rPr>
        <w:t>proceedings</w:t>
      </w:r>
      <w:r w:rsidR="001D6116" w:rsidRPr="001D6116">
        <w:rPr>
          <w:rFonts w:eastAsia="Times New Roman"/>
        </w:rPr>
        <w:t>, which, cumulatively, sufficiently substantiated his claims for</w:t>
      </w:r>
      <w:r w:rsidR="00C86C91">
        <w:rPr>
          <w:rFonts w:eastAsia="Times New Roman"/>
        </w:rPr>
        <w:t xml:space="preserve"> the purposes of admissibility. </w:t>
      </w:r>
      <w:r w:rsidR="001D6116">
        <w:rPr>
          <w:rFonts w:eastAsia="Times New Roman"/>
        </w:rPr>
        <w:t xml:space="preserve">The Committee further </w:t>
      </w:r>
      <w:r w:rsidRPr="00B941F2">
        <w:rPr>
          <w:rFonts w:eastAsia="Times New Roman"/>
        </w:rPr>
        <w:t>considers that the inadmissibility argument adduced by the State party is intimately linked to the merits and should thus be considered at that stage.</w:t>
      </w:r>
    </w:p>
    <w:p w14:paraId="6DABF63B" w14:textId="03145F60" w:rsidR="00043073" w:rsidRDefault="00B941F2" w:rsidP="00F25AD6">
      <w:pPr>
        <w:pStyle w:val="SingleTxtG"/>
      </w:pPr>
      <w:r>
        <w:t>9</w:t>
      </w:r>
      <w:r w:rsidRPr="00B941F2">
        <w:t>.5</w:t>
      </w:r>
      <w:r w:rsidRPr="00B941F2">
        <w:tab/>
        <w:t>The Committee declares the communication admissible insofar as it appears to raise issues under article 7 alone, and in conjunction with article 2 (3) (a) of the Covenant</w:t>
      </w:r>
      <w:r>
        <w:t xml:space="preserve">, </w:t>
      </w:r>
      <w:r w:rsidRPr="00B941F2">
        <w:t>and proceeds to its consideration o</w:t>
      </w:r>
      <w:r w:rsidR="00C86C91">
        <w:t>f</w:t>
      </w:r>
      <w:r w:rsidRPr="00B941F2">
        <w:t xml:space="preserve"> the merits.</w:t>
      </w:r>
    </w:p>
    <w:p w14:paraId="2DE909B9" w14:textId="5986487F" w:rsidR="00EB390D" w:rsidRDefault="009704FD" w:rsidP="009704FD">
      <w:pPr>
        <w:pStyle w:val="H4G"/>
      </w:pPr>
      <w:r>
        <w:tab/>
      </w:r>
      <w:r>
        <w:tab/>
      </w:r>
      <w:r w:rsidR="00EB390D" w:rsidRPr="001E2AFE">
        <w:t>Consideration of the merits</w:t>
      </w:r>
    </w:p>
    <w:p w14:paraId="29E0FE97" w14:textId="705CE5FF" w:rsidR="00B60EE7" w:rsidRDefault="00DD1F68" w:rsidP="00F25AD6">
      <w:pPr>
        <w:pStyle w:val="SingleTxtG"/>
      </w:pPr>
      <w:r>
        <w:t>10</w:t>
      </w:r>
      <w:r w:rsidR="00665CF3">
        <w:t>.1</w:t>
      </w:r>
      <w:r w:rsidR="00BA32A2">
        <w:tab/>
        <w:t xml:space="preserve">The Committee has considered the present communication in the light of all the information made available to it by the parties, as required under article 5 (1) of the Optional Protocol. </w:t>
      </w:r>
    </w:p>
    <w:p w14:paraId="0E7CE1B4" w14:textId="3F95630B" w:rsidR="00CB79BD" w:rsidRPr="00711DEB" w:rsidRDefault="00DD1F68" w:rsidP="00F25AD6">
      <w:pPr>
        <w:pStyle w:val="SingleTxtG"/>
      </w:pPr>
      <w:r>
        <w:t>10</w:t>
      </w:r>
      <w:r w:rsidR="00B60EE7">
        <w:t>.2</w:t>
      </w:r>
      <w:r w:rsidR="00B60EE7">
        <w:tab/>
        <w:t xml:space="preserve">The Committee notes the author’s claim that </w:t>
      </w:r>
      <w:r w:rsidR="00965346">
        <w:t xml:space="preserve">his </w:t>
      </w:r>
      <w:r w:rsidR="00B60EE7">
        <w:t>deport</w:t>
      </w:r>
      <w:r w:rsidR="00965346">
        <w:t xml:space="preserve">ation to Bulgaria, </w:t>
      </w:r>
      <w:r w:rsidR="00B60EE7">
        <w:t xml:space="preserve">based on the Dublin Regulation principle of “first country of asylum”, would expose </w:t>
      </w:r>
      <w:r w:rsidR="00965346">
        <w:t xml:space="preserve">him </w:t>
      </w:r>
      <w:r w:rsidR="00B60EE7">
        <w:t xml:space="preserve">to a </w:t>
      </w:r>
      <w:r w:rsidR="00B626CD">
        <w:t xml:space="preserve">real </w:t>
      </w:r>
      <w:r w:rsidR="00B60EE7">
        <w:t>risk of irreparable harm</w:t>
      </w:r>
      <w:r w:rsidR="00B626CD">
        <w:t xml:space="preserve"> as he would likely be detained and held in conditions amounting to inhuman and degrading treatment there</w:t>
      </w:r>
      <w:r w:rsidR="00B60EE7">
        <w:t>, in violation of article 7</w:t>
      </w:r>
      <w:r w:rsidR="00300534">
        <w:t xml:space="preserve"> </w:t>
      </w:r>
      <w:r w:rsidR="00965346" w:rsidRPr="00965346">
        <w:t>of the Covenant</w:t>
      </w:r>
      <w:r w:rsidR="00B60EE7">
        <w:t>. The author bases h</w:t>
      </w:r>
      <w:r w:rsidR="00965346">
        <w:t xml:space="preserve">is </w:t>
      </w:r>
      <w:r w:rsidR="00B60EE7">
        <w:t>arguments on, in</w:t>
      </w:r>
      <w:r w:rsidR="00B626CD">
        <w:t xml:space="preserve">ter alia, the actual treatment </w:t>
      </w:r>
      <w:r w:rsidR="00B60EE7">
        <w:t xml:space="preserve">he received </w:t>
      </w:r>
      <w:r w:rsidR="00300534">
        <w:t xml:space="preserve">when in Bulgaria; </w:t>
      </w:r>
      <w:r w:rsidR="00B626CD">
        <w:t>his particular vulnerabi</w:t>
      </w:r>
      <w:r w:rsidR="00300534">
        <w:t xml:space="preserve">lity due to suffering from PTSD; </w:t>
      </w:r>
      <w:r w:rsidR="00B60EE7">
        <w:t xml:space="preserve">the general reception </w:t>
      </w:r>
      <w:r w:rsidR="00B626CD">
        <w:t xml:space="preserve">conditions in </w:t>
      </w:r>
      <w:r w:rsidR="00B60EE7">
        <w:t>fa</w:t>
      </w:r>
      <w:r w:rsidR="00B626CD">
        <w:t>cilities</w:t>
      </w:r>
      <w:r w:rsidR="00300534">
        <w:t xml:space="preserve"> for asylum seekers in Bulgaria, including the lack of access to mental health care, </w:t>
      </w:r>
      <w:r w:rsidR="00B626CD">
        <w:t xml:space="preserve">and </w:t>
      </w:r>
      <w:r w:rsidR="004749D9">
        <w:t xml:space="preserve">the </w:t>
      </w:r>
      <w:r w:rsidR="00B626CD">
        <w:t xml:space="preserve">treatment of asylum seekers with excessive force and humiliation, </w:t>
      </w:r>
      <w:r w:rsidR="00B60EE7">
        <w:t xml:space="preserve">as described in various </w:t>
      </w:r>
      <w:r w:rsidR="003F0AB6">
        <w:t xml:space="preserve">background </w:t>
      </w:r>
      <w:r w:rsidR="00B60EE7">
        <w:t>reports</w:t>
      </w:r>
      <w:r w:rsidR="00300534">
        <w:t xml:space="preserve">. </w:t>
      </w:r>
      <w:r w:rsidR="003F37AD">
        <w:t xml:space="preserve">The Committee also notes the author’s </w:t>
      </w:r>
      <w:r w:rsidR="00711DEB">
        <w:t xml:space="preserve">claim </w:t>
      </w:r>
      <w:r w:rsidR="003F37AD">
        <w:t xml:space="preserve">that even if he were not detained, the Dublin returnees are likely to be deprived of their right to accommodation as only those with visible vulnerabilities are provided with reception. </w:t>
      </w:r>
      <w:r w:rsidR="00300534">
        <w:t>The Committee further notes the author’s claim</w:t>
      </w:r>
      <w:r w:rsidR="007E4203">
        <w:t>s</w:t>
      </w:r>
      <w:r w:rsidR="00300534">
        <w:t xml:space="preserve"> that the asylum </w:t>
      </w:r>
      <w:r w:rsidR="007E4203">
        <w:t xml:space="preserve">and judicial </w:t>
      </w:r>
      <w:r w:rsidR="00300534">
        <w:t>procedure</w:t>
      </w:r>
      <w:r w:rsidR="007E4203">
        <w:t xml:space="preserve">s </w:t>
      </w:r>
      <w:r w:rsidR="00300534">
        <w:t xml:space="preserve">suffered from </w:t>
      </w:r>
      <w:r w:rsidR="00B626CD">
        <w:t>procedural errors</w:t>
      </w:r>
      <w:r w:rsidR="007E4203">
        <w:t xml:space="preserve">, such as </w:t>
      </w:r>
      <w:r w:rsidR="00B626CD">
        <w:t xml:space="preserve">the </w:t>
      </w:r>
      <w:r w:rsidR="0040519D">
        <w:t xml:space="preserve">absence of a personalized assessment of </w:t>
      </w:r>
      <w:r w:rsidR="00B626CD">
        <w:t xml:space="preserve">the application of the Dublin Regulation in his </w:t>
      </w:r>
      <w:r w:rsidR="0040519D">
        <w:t>circumstances</w:t>
      </w:r>
      <w:r w:rsidR="00B626CD">
        <w:t xml:space="preserve">, </w:t>
      </w:r>
      <w:r w:rsidR="00112B50">
        <w:t xml:space="preserve">and </w:t>
      </w:r>
      <w:r w:rsidR="00300534">
        <w:t xml:space="preserve">that he was </w:t>
      </w:r>
      <w:r w:rsidR="00CB6F90">
        <w:t xml:space="preserve">consequently </w:t>
      </w:r>
      <w:r w:rsidR="00112B50">
        <w:t>depriv</w:t>
      </w:r>
      <w:r w:rsidR="00300534">
        <w:t xml:space="preserve">ed </w:t>
      </w:r>
      <w:r w:rsidR="00112B50">
        <w:t xml:space="preserve">of </w:t>
      </w:r>
      <w:r w:rsidR="003F0AB6">
        <w:t xml:space="preserve">the </w:t>
      </w:r>
      <w:r w:rsidR="00112B50">
        <w:t>right to an effective</w:t>
      </w:r>
      <w:r w:rsidR="00300534">
        <w:t xml:space="preserve"> remedy, in violation of article 2 (3) (a), in conjunction with article 7, of the Covenant. </w:t>
      </w:r>
      <w:r w:rsidR="00B60EE7">
        <w:t xml:space="preserve">The Committee also notes the </w:t>
      </w:r>
      <w:r w:rsidR="00CB79BD">
        <w:t>State party’s argument that the author</w:t>
      </w:r>
      <w:r w:rsidR="00CB79BD">
        <w:rPr>
          <w:lang w:val="en-US"/>
        </w:rPr>
        <w:t>’s</w:t>
      </w:r>
      <w:r w:rsidR="00112B50">
        <w:rPr>
          <w:lang w:val="en-US"/>
        </w:rPr>
        <w:t xml:space="preserve"> claims should be considered </w:t>
      </w:r>
      <w:r w:rsidR="007E4203">
        <w:rPr>
          <w:lang w:val="en-US"/>
        </w:rPr>
        <w:t xml:space="preserve">manifestly </w:t>
      </w:r>
      <w:r w:rsidR="002C1EDC">
        <w:rPr>
          <w:lang w:val="en-US"/>
        </w:rPr>
        <w:t>ill</w:t>
      </w:r>
      <w:r w:rsidR="007E4203">
        <w:rPr>
          <w:lang w:val="en-US"/>
        </w:rPr>
        <w:t>-</w:t>
      </w:r>
      <w:r w:rsidR="00CB79BD">
        <w:rPr>
          <w:lang w:val="en-US"/>
        </w:rPr>
        <w:t>founded</w:t>
      </w:r>
      <w:r w:rsidR="007E4203">
        <w:rPr>
          <w:lang w:val="en-US"/>
        </w:rPr>
        <w:t xml:space="preserve">. </w:t>
      </w:r>
    </w:p>
    <w:p w14:paraId="34F3F9F8" w14:textId="604168B6" w:rsidR="00B60EE7" w:rsidRDefault="00AC4BEF" w:rsidP="00F25AD6">
      <w:pPr>
        <w:pStyle w:val="SingleTxtG"/>
      </w:pPr>
      <w:r>
        <w:t>10</w:t>
      </w:r>
      <w:r w:rsidR="00B60EE7">
        <w:t>.3</w:t>
      </w:r>
      <w:r w:rsidR="00B60EE7">
        <w:tab/>
      </w:r>
      <w:r w:rsidR="00B60EE7" w:rsidRPr="00B60EE7">
        <w:t>The Committee recalls its general comment No. 31</w:t>
      </w:r>
      <w:r w:rsidR="00043073">
        <w:t>,</w:t>
      </w:r>
      <w:r w:rsidR="00B60EE7" w:rsidRPr="00B60EE7">
        <w:rPr>
          <w:vertAlign w:val="superscript"/>
        </w:rPr>
        <w:footnoteReference w:id="32"/>
      </w:r>
      <w:r w:rsidR="00B60EE7" w:rsidRPr="00B60EE7">
        <w:t xml:space="preserve"> in which it refers to the obligation of States parties not to extradite, deport, expel or otherwise remove a person from their territory where there are substantial grounds for believing that there is a real risk of irreparable harm, such as that contemplated by article 7 of the Covenant</w:t>
      </w:r>
      <w:r w:rsidR="00043073">
        <w:t xml:space="preserve">. </w:t>
      </w:r>
      <w:r w:rsidR="00B60EE7" w:rsidRPr="00B60EE7">
        <w:t>The Committee has also indicated that the risk must be personal and that the threshold for providing substantial grounds to establish that a real risk of irreparable harm exists is high</w:t>
      </w:r>
      <w:r w:rsidR="00B60EE7">
        <w:t>.</w:t>
      </w:r>
      <w:r w:rsidR="00B60EE7" w:rsidRPr="00B60EE7">
        <w:rPr>
          <w:vertAlign w:val="superscript"/>
        </w:rPr>
        <w:footnoteReference w:id="33"/>
      </w:r>
      <w:r w:rsidR="00B60EE7">
        <w:t xml:space="preserve"> </w:t>
      </w:r>
      <w:r w:rsidR="00B60EE7" w:rsidRPr="00B60EE7">
        <w:t xml:space="preserve">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risk </w:t>
      </w:r>
      <w:r w:rsidR="00B60EE7" w:rsidRPr="00B60EE7">
        <w:lastRenderedPageBreak/>
        <w:t>exists,</w:t>
      </w:r>
      <w:r w:rsidR="00B60EE7" w:rsidRPr="00B60EE7">
        <w:rPr>
          <w:vertAlign w:val="superscript"/>
        </w:rPr>
        <w:footnoteReference w:id="34"/>
      </w:r>
      <w:r w:rsidR="00B60EE7" w:rsidRPr="00B60EE7">
        <w:t xml:space="preserve"> unless it is found that the evaluation was clearly arbitrary or amounted to a </w:t>
      </w:r>
      <w:r>
        <w:t xml:space="preserve">manifest error or </w:t>
      </w:r>
      <w:r w:rsidR="00B60EE7" w:rsidRPr="00B60EE7">
        <w:t>denial of justice.</w:t>
      </w:r>
      <w:r w:rsidR="00B60EE7" w:rsidRPr="00B60EE7">
        <w:rPr>
          <w:vertAlign w:val="superscript"/>
        </w:rPr>
        <w:footnoteReference w:id="35"/>
      </w:r>
    </w:p>
    <w:p w14:paraId="43110D5A" w14:textId="611B29B3" w:rsidR="002E16E2" w:rsidRDefault="003F37AD" w:rsidP="00F25AD6">
      <w:pPr>
        <w:pStyle w:val="SingleTxtG"/>
      </w:pPr>
      <w:r>
        <w:t>10.4</w:t>
      </w:r>
      <w:r>
        <w:tab/>
      </w:r>
      <w:r w:rsidR="002E16E2">
        <w:t xml:space="preserve">Concerning article 7, the Committee notes the author’s claims that he would likely be detained and held in conditions amounting to inhuman and degrading treatment, </w:t>
      </w:r>
      <w:r w:rsidR="00EF2CDF">
        <w:t xml:space="preserve">as described in </w:t>
      </w:r>
      <w:r w:rsidR="002E16E2">
        <w:t xml:space="preserve">the background reports and </w:t>
      </w:r>
      <w:r w:rsidR="003F0AB6">
        <w:t xml:space="preserve">the </w:t>
      </w:r>
      <w:r w:rsidR="002E16E2">
        <w:t xml:space="preserve">European Court jurisprudence on </w:t>
      </w:r>
      <w:r>
        <w:t xml:space="preserve">routine detention of asylum seekers, </w:t>
      </w:r>
      <w:r w:rsidR="002E16E2">
        <w:t>ina</w:t>
      </w:r>
      <w:r>
        <w:t>ppropriate reception conditions</w:t>
      </w:r>
      <w:r w:rsidR="00EF2CDF">
        <w:t xml:space="preserve">, </w:t>
      </w:r>
      <w:r w:rsidR="002E16E2">
        <w:t xml:space="preserve">including lack of food, liquids and sanitation, and serious shortcomings in asylum procedure. </w:t>
      </w:r>
      <w:r w:rsidR="00EF2CDF">
        <w:t xml:space="preserve">The Committee also notes the author’s claims that even if he </w:t>
      </w:r>
      <w:r>
        <w:t>w</w:t>
      </w:r>
      <w:r w:rsidR="003F0AB6">
        <w:t xml:space="preserve">ere </w:t>
      </w:r>
      <w:r>
        <w:t xml:space="preserve">not detained, he fears to face a lack of accommodation, no access to mental health care which would result </w:t>
      </w:r>
      <w:r w:rsidRPr="00F25AD6">
        <w:t>in</w:t>
      </w:r>
      <w:r>
        <w:t xml:space="preserve"> a serious deterioration of his current condition</w:t>
      </w:r>
      <w:r w:rsidR="00EF2CDF">
        <w:t xml:space="preserve">, absence of identification procedure for vulnerable asylum seekers, and the </w:t>
      </w:r>
      <w:r w:rsidR="003F0AB6">
        <w:t xml:space="preserve">use of </w:t>
      </w:r>
      <w:r w:rsidR="00EF2CDF">
        <w:t>excessive force and brutality</w:t>
      </w:r>
      <w:r w:rsidR="003F0AB6" w:rsidRPr="003F0AB6">
        <w:t xml:space="preserve"> </w:t>
      </w:r>
      <w:r w:rsidR="003F0AB6">
        <w:t xml:space="preserve">by the </w:t>
      </w:r>
      <w:r w:rsidR="003F0AB6" w:rsidRPr="003F0AB6">
        <w:t>Bulgarian authorities</w:t>
      </w:r>
      <w:r w:rsidR="003F0AB6">
        <w:t xml:space="preserve">. </w:t>
      </w:r>
      <w:r w:rsidR="00EF2CDF">
        <w:t xml:space="preserve">The Committee observes </w:t>
      </w:r>
      <w:r w:rsidR="00A418BE">
        <w:t xml:space="preserve">as undisputed </w:t>
      </w:r>
      <w:r w:rsidR="00EF2CDF">
        <w:t>that the author entered Bulgaria illegally</w:t>
      </w:r>
      <w:r w:rsidR="00A418BE">
        <w:t xml:space="preserve">, </w:t>
      </w:r>
      <w:r w:rsidR="00EF2CDF">
        <w:t>was ap</w:t>
      </w:r>
      <w:r w:rsidR="00932DD9">
        <w:t>prehended</w:t>
      </w:r>
      <w:r w:rsidR="009B7FD2">
        <w:t xml:space="preserve"> and </w:t>
      </w:r>
      <w:r w:rsidR="00EF2CDF">
        <w:t>severely beaten</w:t>
      </w:r>
      <w:r w:rsidR="00A418BE" w:rsidRPr="00A418BE">
        <w:t xml:space="preserve"> by the Bulgarian police</w:t>
      </w:r>
      <w:r w:rsidR="00625B7C">
        <w:t xml:space="preserve">. </w:t>
      </w:r>
      <w:r w:rsidR="009B7FD2">
        <w:t xml:space="preserve">The Committee further observes that the author was </w:t>
      </w:r>
      <w:r w:rsidR="00A418BE">
        <w:t>exposed to kicking and shouting by the police</w:t>
      </w:r>
      <w:r w:rsidR="00750E66">
        <w:t xml:space="preserve"> at </w:t>
      </w:r>
      <w:proofErr w:type="spellStart"/>
      <w:r w:rsidR="00750E66">
        <w:t>Elhovo</w:t>
      </w:r>
      <w:proofErr w:type="spellEnd"/>
      <w:r w:rsidR="00750E66">
        <w:t xml:space="preserve"> centre, </w:t>
      </w:r>
      <w:r w:rsidR="009B7FD2">
        <w:t>a</w:t>
      </w:r>
      <w:r w:rsidR="00750E66">
        <w:t xml:space="preserve">s well as </w:t>
      </w:r>
      <w:r w:rsidR="00A418BE">
        <w:t>to poor material conditions and absence of medical services.</w:t>
      </w:r>
      <w:r w:rsidR="00932DD9">
        <w:t xml:space="preserve"> One week later, </w:t>
      </w:r>
      <w:r w:rsidR="00750E66">
        <w:t xml:space="preserve">he </w:t>
      </w:r>
      <w:r w:rsidR="00932DD9">
        <w:t xml:space="preserve">was transferred to the </w:t>
      </w:r>
      <w:proofErr w:type="spellStart"/>
      <w:r w:rsidR="00932DD9">
        <w:t>Voenna</w:t>
      </w:r>
      <w:proofErr w:type="spellEnd"/>
      <w:r w:rsidR="00932DD9">
        <w:t xml:space="preserve"> </w:t>
      </w:r>
      <w:proofErr w:type="spellStart"/>
      <w:r w:rsidR="00932DD9">
        <w:t>Rampa</w:t>
      </w:r>
      <w:proofErr w:type="spellEnd"/>
      <w:r w:rsidR="00932DD9">
        <w:t xml:space="preserve"> refugee camp, where he witnessed brutal beatings and ill-treatment of asylum seekers returned from other </w:t>
      </w:r>
      <w:r w:rsidR="009B7FD2">
        <w:t xml:space="preserve">EU </w:t>
      </w:r>
      <w:r w:rsidR="00932DD9">
        <w:t xml:space="preserve">Members States and </w:t>
      </w:r>
      <w:r w:rsidR="009B7FD2">
        <w:t xml:space="preserve">was exposed to dire material </w:t>
      </w:r>
      <w:r w:rsidR="00932DD9">
        <w:t>conditions</w:t>
      </w:r>
      <w:r w:rsidR="009B7FD2">
        <w:t xml:space="preserve">. </w:t>
      </w:r>
      <w:r w:rsidR="00932DD9">
        <w:t xml:space="preserve">The Committee </w:t>
      </w:r>
      <w:r w:rsidR="00530DA6">
        <w:t xml:space="preserve">also </w:t>
      </w:r>
      <w:r w:rsidR="00932DD9">
        <w:t>notes the author’s claim that he suffers from asthma but did not receive the medication prescribed to him by the doctor at the camp, and that he left the refugee camp on 19 May 2016</w:t>
      </w:r>
      <w:r w:rsidR="00750E66">
        <w:t xml:space="preserve">, without the </w:t>
      </w:r>
      <w:r w:rsidR="005F12D8">
        <w:t xml:space="preserve">asylum procedure </w:t>
      </w:r>
      <w:r w:rsidR="00750E66">
        <w:t xml:space="preserve">being </w:t>
      </w:r>
      <w:r w:rsidR="005F12D8">
        <w:t>con</w:t>
      </w:r>
      <w:r w:rsidR="00750E66">
        <w:t xml:space="preserve">cluded </w:t>
      </w:r>
      <w:r w:rsidR="005F12D8">
        <w:t>on the merits</w:t>
      </w:r>
      <w:r w:rsidR="009B7FD2">
        <w:t xml:space="preserve">. The Committee observes that the author </w:t>
      </w:r>
      <w:r w:rsidR="00750E66">
        <w:t xml:space="preserve">also </w:t>
      </w:r>
      <w:r w:rsidR="009B7FD2">
        <w:t>relied on reports on the general situation of asylum seekers in Bulgaria.</w:t>
      </w:r>
      <w:r w:rsidR="00530DA6">
        <w:t xml:space="preserve"> Nonetheless, the Committee notes the State party’s submission that the author did not refer to the alleged violations of his rights during the asylum procedure, but has only invoked them in the present complaint, </w:t>
      </w:r>
      <w:r w:rsidR="00750E66">
        <w:t xml:space="preserve">without </w:t>
      </w:r>
      <w:r w:rsidR="00530DA6">
        <w:t>allowing the State party’s authorities to consider the claims during the domestic proceedings. The Committee observes that the State party has questioned the genuineness of the author’s allegations</w:t>
      </w:r>
      <w:r w:rsidR="00273753">
        <w:t xml:space="preserve">, arguing that </w:t>
      </w:r>
      <w:r w:rsidR="00530DA6">
        <w:t xml:space="preserve">the failure of the author cannot be </w:t>
      </w:r>
      <w:r w:rsidR="009704FD">
        <w:t>attributed to the State party.</w:t>
      </w:r>
    </w:p>
    <w:p w14:paraId="61706156" w14:textId="6329C132" w:rsidR="00625B7C" w:rsidRDefault="00273753" w:rsidP="00924A5B">
      <w:pPr>
        <w:pStyle w:val="SingleTxtG"/>
      </w:pPr>
      <w:r>
        <w:t>10.5</w:t>
      </w:r>
      <w:r>
        <w:tab/>
      </w:r>
      <w:r w:rsidR="002E16E2">
        <w:t>As regards article 2 (3) (a), the Committee notes the</w:t>
      </w:r>
      <w:r w:rsidR="00711DEB">
        <w:t xml:space="preserve"> author’s claim that the asylum and judicial review procedure</w:t>
      </w:r>
      <w:r w:rsidR="00B64A03">
        <w:t>s</w:t>
      </w:r>
      <w:r w:rsidR="00711DEB">
        <w:t xml:space="preserve"> did not represent an effective remedy</w:t>
      </w:r>
      <w:r w:rsidR="00B64A03">
        <w:t xml:space="preserve"> </w:t>
      </w:r>
      <w:r w:rsidR="00711DEB">
        <w:t xml:space="preserve">as he was heard only once, at the asylum interview, whereas he was not questioned about his </w:t>
      </w:r>
      <w:r w:rsidR="00B64A03">
        <w:t xml:space="preserve">specific </w:t>
      </w:r>
      <w:r w:rsidR="00711DEB">
        <w:t xml:space="preserve">circumstances in relation to a potential transfer to </w:t>
      </w:r>
      <w:r w:rsidR="00711DEB" w:rsidRPr="00F25AD6">
        <w:t>Bulgaria d</w:t>
      </w:r>
      <w:r w:rsidR="00711DEB">
        <w:t xml:space="preserve">uring the proceedings before the Office and the Metropolitan Court. The Committee </w:t>
      </w:r>
      <w:r w:rsidR="00B64A03">
        <w:t xml:space="preserve">in particular </w:t>
      </w:r>
      <w:r w:rsidR="00711DEB">
        <w:t xml:space="preserve">notes the author’s claim </w:t>
      </w:r>
      <w:r w:rsidR="00CB6F90">
        <w:t xml:space="preserve">that the Hungarian authorities </w:t>
      </w:r>
      <w:r w:rsidR="00756CD0">
        <w:t>exclusively</w:t>
      </w:r>
      <w:r w:rsidR="00CB6F90">
        <w:t xml:space="preserve"> focused on the Dublin Regulation, </w:t>
      </w:r>
      <w:r w:rsidR="00B64A03" w:rsidRPr="00B64A03">
        <w:t xml:space="preserve">without </w:t>
      </w:r>
      <w:r w:rsidR="00B64A03">
        <w:t xml:space="preserve">assessing </w:t>
      </w:r>
      <w:r w:rsidR="00CB6F90">
        <w:t xml:space="preserve">how the Bulgarian asylum system functions in practice, </w:t>
      </w:r>
      <w:r w:rsidR="00B64A03">
        <w:t xml:space="preserve">i.e. </w:t>
      </w:r>
      <w:r w:rsidR="00CB6F90">
        <w:t>whether he would have access to fair and efficient asylum procedure in Bulgaria and whether he would have access to psychological assistance</w:t>
      </w:r>
      <w:r w:rsidR="00B64A03">
        <w:t xml:space="preserve">. </w:t>
      </w:r>
    </w:p>
    <w:p w14:paraId="2696A4B9" w14:textId="3A0C85AE" w:rsidR="005F12D8" w:rsidRDefault="00625B7C" w:rsidP="00924A5B">
      <w:pPr>
        <w:pStyle w:val="SingleTxtG"/>
      </w:pPr>
      <w:r>
        <w:t>10.6</w:t>
      </w:r>
      <w:r>
        <w:tab/>
        <w:t xml:space="preserve">The Committee further notes the State party’s submissions </w:t>
      </w:r>
      <w:r w:rsidRPr="00625B7C">
        <w:t>that the author was properly informed about his rights and obligations during the asylum procedure</w:t>
      </w:r>
      <w:r w:rsidR="00750E66">
        <w:t>;</w:t>
      </w:r>
      <w:r w:rsidRPr="00625B7C">
        <w:t xml:space="preserve"> </w:t>
      </w:r>
      <w:r>
        <w:t>that he signed the interview minutes without any amendments</w:t>
      </w:r>
      <w:r w:rsidR="00750E66">
        <w:t>;</w:t>
      </w:r>
      <w:r>
        <w:t xml:space="preserve"> </w:t>
      </w:r>
      <w:r w:rsidRPr="00625B7C">
        <w:t>that he did not mention any circumstances during the asylum and judicial procedures as referred to in his communication to the Committee</w:t>
      </w:r>
      <w:r w:rsidR="00750E66">
        <w:t>;</w:t>
      </w:r>
      <w:r w:rsidRPr="00625B7C">
        <w:t xml:space="preserve"> that he claimed to be physically and mentally fit </w:t>
      </w:r>
      <w:r w:rsidR="00750E66">
        <w:t xml:space="preserve">before and during the asylum interview; </w:t>
      </w:r>
      <w:r w:rsidRPr="00625B7C">
        <w:t>and that his right to remedy was effectively secured as he appealed the negative asylum decision to the Metropolitan Court. The Committee also notes the State party’s claim that in his appeal, the author did not object to the lawfulness of the procedure</w:t>
      </w:r>
      <w:r w:rsidR="00BA70E2">
        <w:t xml:space="preserve">, the grounds </w:t>
      </w:r>
      <w:r w:rsidR="00750E66">
        <w:t xml:space="preserve">of which instead concerned intended </w:t>
      </w:r>
      <w:r w:rsidR="00BA70E2">
        <w:t xml:space="preserve">family reunification, </w:t>
      </w:r>
      <w:r w:rsidRPr="00625B7C">
        <w:t xml:space="preserve">and he did not complain about any shortcomings in the Bulgarian asylum system nor did he state that Bulgaria was not a safe country in his case. </w:t>
      </w:r>
    </w:p>
    <w:p w14:paraId="5F6068FF" w14:textId="1E40D792" w:rsidR="00607740" w:rsidRDefault="00F14792" w:rsidP="00924A5B">
      <w:pPr>
        <w:pStyle w:val="SingleTxtG"/>
      </w:pPr>
      <w:r>
        <w:lastRenderedPageBreak/>
        <w:t>10.7</w:t>
      </w:r>
      <w:r>
        <w:tab/>
        <w:t xml:space="preserve">The Committee observes that the material before it, as well as general information in the public domain on the situation of asylum seekers in Bulgaria, indicate that there may be a lack of available places in the reception facilities for asylum seekers and that they are often in poor sanitary conditions and without adequate medical </w:t>
      </w:r>
      <w:r w:rsidR="00750E66">
        <w:t xml:space="preserve">personnel and </w:t>
      </w:r>
      <w:r>
        <w:t>assistance.</w:t>
      </w:r>
      <w:r w:rsidR="00750E66">
        <w:t xml:space="preserve"> </w:t>
      </w:r>
      <w:r>
        <w:t>The Committee, however, notes that the author was not homeless before his departure from Bulgaria</w:t>
      </w:r>
      <w:r w:rsidR="00756CD0">
        <w:t xml:space="preserve"> as he stayed in a refugee camp,</w:t>
      </w:r>
      <w:r>
        <w:t xml:space="preserve"> and did not live in destitution. The Committee further observes that according to his own statement, the author had access, though limited, to medical treatment during his stay in Bulgaria. Likewise, the author has not provided any information that would explain why he would not be able to seek asylum in Bulgaria</w:t>
      </w:r>
      <w:r w:rsidR="00E95AD5">
        <w:t>. In addition, the Committee observes that the author was informed about the application of the Dublin procedure by the Office</w:t>
      </w:r>
      <w:r w:rsidR="00E955F0">
        <w:t xml:space="preserve"> in his case</w:t>
      </w:r>
      <w:r w:rsidR="00E95AD5">
        <w:t xml:space="preserve">, that he was heard once in the presence of an interpreter, and </w:t>
      </w:r>
      <w:r w:rsidR="00750E66">
        <w:t xml:space="preserve">that </w:t>
      </w:r>
      <w:r w:rsidR="00E95AD5">
        <w:t>the interview was held in a fair and objective manner</w:t>
      </w:r>
      <w:r w:rsidR="00E955F0">
        <w:t>, which he attested by a signature</w:t>
      </w:r>
      <w:r w:rsidR="00750E66">
        <w:t xml:space="preserve">. </w:t>
      </w:r>
      <w:r w:rsidR="00E955F0">
        <w:t xml:space="preserve">The Committee further notes that </w:t>
      </w:r>
      <w:r w:rsidR="00E95AD5">
        <w:t>the author appealed the negative asylum decision, without meet</w:t>
      </w:r>
      <w:r w:rsidR="00750E66">
        <w:t xml:space="preserve">ing </w:t>
      </w:r>
      <w:r w:rsidR="00E95AD5">
        <w:t>the burden of allegation and proof</w:t>
      </w:r>
      <w:r w:rsidR="00E955F0">
        <w:t>,</w:t>
      </w:r>
      <w:r w:rsidR="00750E66" w:rsidRPr="00750E66">
        <w:t xml:space="preserve"> </w:t>
      </w:r>
      <w:r w:rsidR="00E955F0">
        <w:t>while not p</w:t>
      </w:r>
      <w:r w:rsidR="00750E66" w:rsidRPr="00750E66">
        <w:t>ersuasive</w:t>
      </w:r>
      <w:r w:rsidR="00E955F0">
        <w:t xml:space="preserve">ly </w:t>
      </w:r>
      <w:r w:rsidR="00750E66" w:rsidRPr="00750E66">
        <w:t>expla</w:t>
      </w:r>
      <w:r w:rsidR="00E955F0">
        <w:t xml:space="preserve">ining the failure </w:t>
      </w:r>
      <w:r w:rsidR="00750E66">
        <w:t xml:space="preserve">thereof. </w:t>
      </w:r>
      <w:r w:rsidR="00E955F0">
        <w:t xml:space="preserve">In the circumstances, the </w:t>
      </w:r>
      <w:r w:rsidR="007A4769">
        <w:t xml:space="preserve">Committee </w:t>
      </w:r>
      <w:r w:rsidR="00645F5F">
        <w:t xml:space="preserve">observes </w:t>
      </w:r>
      <w:r w:rsidR="007A4769">
        <w:t>that the author has not substantiated his claim that he would face a real and personal risk of inhuman or degrading treatment if returned to Bulgaria.</w:t>
      </w:r>
      <w:r w:rsidR="007A4769">
        <w:rPr>
          <w:rStyle w:val="FootnoteReference"/>
        </w:rPr>
        <w:footnoteReference w:id="36"/>
      </w:r>
      <w:r w:rsidR="007A4769">
        <w:t xml:space="preserve"> The Committee considers that the mere fact that the author may be possibly confronted with difficulties upon his return to Bulgaria does not in itself mean that he would be in a special situation of vulnerability and in a situation significantly different to many other Dublin returnees, notwithstanding the </w:t>
      </w:r>
      <w:r w:rsidR="00E955F0">
        <w:t xml:space="preserve">necessary </w:t>
      </w:r>
      <w:r w:rsidR="007A4769">
        <w:t xml:space="preserve">treatment of his PTSD. </w:t>
      </w:r>
    </w:p>
    <w:p w14:paraId="0D00FF86" w14:textId="107E7AC0" w:rsidR="00CB6F90" w:rsidRDefault="00607740" w:rsidP="00924A5B">
      <w:pPr>
        <w:pStyle w:val="SingleTxtG"/>
      </w:pPr>
      <w:r>
        <w:t>10.8</w:t>
      </w:r>
      <w:r>
        <w:tab/>
        <w:t>The Committee further considers that, in the present case, the author’s claims mainly reflect his disagreement with the decision of the State party’s authorities to return him to Bulgaria as his country of first asylum, and that he failed to explain why that decision is manifestly unreasonable or arbitrary or amounting to a denial of justice.</w:t>
      </w:r>
      <w:r w:rsidR="003F0AB6">
        <w:rPr>
          <w:rStyle w:val="FootnoteReference"/>
        </w:rPr>
        <w:footnoteReference w:id="37"/>
      </w:r>
      <w:r>
        <w:t xml:space="preserve"> Accordingly, the Committee cannot conclude that the removal of the author to Bulgaria by the State party would constitute a violation of article 7, or that the author’s rights under article 2 (3) (a), in conjunction with article 7</w:t>
      </w:r>
      <w:r w:rsidRPr="00607740">
        <w:t xml:space="preserve"> of the Covenant</w:t>
      </w:r>
      <w:r>
        <w:t>, have been violated</w:t>
      </w:r>
      <w:r w:rsidR="00645F5F">
        <w:t xml:space="preserve"> in arriving at the negative asylum decision</w:t>
      </w:r>
      <w:r>
        <w:t>.</w:t>
      </w:r>
      <w:r w:rsidR="002743E7">
        <w:t xml:space="preserve">  </w:t>
      </w:r>
      <w:r w:rsidR="00CB6F90">
        <w:t xml:space="preserve"> </w:t>
      </w:r>
    </w:p>
    <w:p w14:paraId="0533331D" w14:textId="13E6C448" w:rsidR="003C3E47" w:rsidRDefault="009704FD" w:rsidP="00924A5B">
      <w:pPr>
        <w:pStyle w:val="SingleTxtG"/>
      </w:pPr>
      <w:r>
        <w:t>11.</w:t>
      </w:r>
      <w:r w:rsidR="00607740">
        <w:tab/>
      </w:r>
      <w:r w:rsidR="003F0AB6">
        <w:t xml:space="preserve">The Committee, acting under article 5 (4) of the Optional Protocol to the Covenant, is of the view that the author’s removal to Bulgaria would not violate his rights under article 7 of the Covenant. The Committee is, however, confident that the State party will duly inform the Bulgarian authorities of the author’s removal, in order for the author to be taken charge of in a manner adapted to his medical and other needs, as </w:t>
      </w:r>
      <w:r w:rsidR="00645F5F">
        <w:t>required.</w:t>
      </w:r>
      <w:r w:rsidR="003F0AB6">
        <w:t xml:space="preserve"> </w:t>
      </w:r>
    </w:p>
    <w:p w14:paraId="1704AA4B" w14:textId="77777777" w:rsidR="003C3E47" w:rsidRDefault="003C3E47">
      <w:pPr>
        <w:suppressAutoHyphens w:val="0"/>
        <w:spacing w:line="240" w:lineRule="auto"/>
      </w:pPr>
      <w:r>
        <w:br w:type="page"/>
      </w:r>
    </w:p>
    <w:p w14:paraId="3CFE38F6" w14:textId="4F20190F" w:rsidR="003C3E47" w:rsidRPr="000E7E82" w:rsidRDefault="00FC2B62" w:rsidP="003C3E47">
      <w:pPr>
        <w:pStyle w:val="HChG"/>
        <w:rPr>
          <w:rFonts w:eastAsia="SimSun"/>
          <w:lang w:eastAsia="zh-CN"/>
        </w:rPr>
      </w:pPr>
      <w:r>
        <w:rPr>
          <w:rFonts w:eastAsia="SimSun"/>
          <w:lang w:eastAsia="zh-CN"/>
        </w:rPr>
        <w:lastRenderedPageBreak/>
        <w:tab/>
        <w:t>Annex</w:t>
      </w:r>
      <w:r w:rsidR="003C3E47">
        <w:rPr>
          <w:rFonts w:eastAsia="SimSun"/>
          <w:lang w:eastAsia="zh-CN"/>
        </w:rPr>
        <w:t xml:space="preserve"> 1:</w:t>
      </w:r>
      <w:bookmarkStart w:id="0" w:name="_GoBack"/>
      <w:bookmarkEnd w:id="0"/>
    </w:p>
    <w:p w14:paraId="7FDC02C4" w14:textId="0C028FE3" w:rsidR="003C3E47" w:rsidRDefault="003C3E47" w:rsidP="003C3E47">
      <w:pPr>
        <w:rPr>
          <w:b/>
          <w:sz w:val="24"/>
          <w:szCs w:val="24"/>
        </w:rPr>
      </w:pPr>
      <w:r>
        <w:tab/>
        <w:t xml:space="preserve">        </w:t>
      </w:r>
      <w:r w:rsidRPr="005B0FCD">
        <w:rPr>
          <w:b/>
          <w:sz w:val="24"/>
          <w:szCs w:val="24"/>
        </w:rPr>
        <w:t>Opinion</w:t>
      </w:r>
      <w:r w:rsidR="00F503C3">
        <w:rPr>
          <w:b/>
          <w:sz w:val="24"/>
          <w:szCs w:val="24"/>
        </w:rPr>
        <w:t xml:space="preserve"> </w:t>
      </w:r>
      <w:proofErr w:type="spellStart"/>
      <w:r w:rsidR="00F503C3">
        <w:rPr>
          <w:b/>
          <w:sz w:val="24"/>
          <w:szCs w:val="24"/>
        </w:rPr>
        <w:t>individuelle</w:t>
      </w:r>
      <w:proofErr w:type="spellEnd"/>
      <w:r w:rsidR="00F503C3">
        <w:rPr>
          <w:b/>
          <w:sz w:val="24"/>
          <w:szCs w:val="24"/>
        </w:rPr>
        <w:t xml:space="preserve"> (</w:t>
      </w:r>
      <w:proofErr w:type="spellStart"/>
      <w:r w:rsidR="00F503C3">
        <w:rPr>
          <w:b/>
          <w:sz w:val="24"/>
          <w:szCs w:val="24"/>
        </w:rPr>
        <w:t>dissidente</w:t>
      </w:r>
      <w:proofErr w:type="spellEnd"/>
      <w:r w:rsidR="00F503C3">
        <w:rPr>
          <w:b/>
          <w:sz w:val="24"/>
          <w:szCs w:val="24"/>
        </w:rPr>
        <w:t>) de</w:t>
      </w:r>
      <w:r w:rsidRPr="005B0FCD">
        <w:rPr>
          <w:b/>
          <w:sz w:val="24"/>
          <w:szCs w:val="24"/>
        </w:rPr>
        <w:t xml:space="preserve"> M. </w:t>
      </w:r>
      <w:proofErr w:type="spellStart"/>
      <w:r w:rsidRPr="005B0FCD">
        <w:rPr>
          <w:b/>
          <w:sz w:val="24"/>
          <w:szCs w:val="24"/>
        </w:rPr>
        <w:t>Yadh</w:t>
      </w:r>
      <w:proofErr w:type="spellEnd"/>
      <w:r w:rsidRPr="005B0FCD">
        <w:rPr>
          <w:b/>
          <w:sz w:val="24"/>
          <w:szCs w:val="24"/>
        </w:rPr>
        <w:t xml:space="preserve"> Ben </w:t>
      </w:r>
      <w:proofErr w:type="spellStart"/>
      <w:r w:rsidRPr="005B0FCD">
        <w:rPr>
          <w:b/>
          <w:sz w:val="24"/>
          <w:szCs w:val="24"/>
        </w:rPr>
        <w:t>Achour</w:t>
      </w:r>
      <w:proofErr w:type="spellEnd"/>
    </w:p>
    <w:p w14:paraId="16C59E33" w14:textId="77777777" w:rsidR="003C3E47" w:rsidRPr="005B0FCD" w:rsidRDefault="003C3E47" w:rsidP="003C3E47">
      <w:pPr>
        <w:rPr>
          <w:b/>
          <w:sz w:val="24"/>
          <w:szCs w:val="24"/>
        </w:rPr>
      </w:pPr>
    </w:p>
    <w:p w14:paraId="36630B65" w14:textId="77777777" w:rsidR="003C3E47" w:rsidRPr="00592DC6" w:rsidRDefault="003C3E47" w:rsidP="003C3E47">
      <w:pPr>
        <w:pStyle w:val="SingleTxtG"/>
      </w:pPr>
      <w:r>
        <w:t>1.</w:t>
      </w:r>
      <w:r>
        <w:tab/>
      </w:r>
      <w:r w:rsidRPr="00592DC6">
        <w:t xml:space="preserve"> </w:t>
      </w:r>
      <w:proofErr w:type="spellStart"/>
      <w:r w:rsidRPr="00592DC6">
        <w:t>Dans</w:t>
      </w:r>
      <w:proofErr w:type="spellEnd"/>
      <w:r w:rsidRPr="00592DC6">
        <w:t xml:space="preserve"> </w:t>
      </w:r>
      <w:proofErr w:type="spellStart"/>
      <w:r w:rsidRPr="00592DC6">
        <w:t>cette</w:t>
      </w:r>
      <w:proofErr w:type="spellEnd"/>
      <w:r w:rsidRPr="00592DC6">
        <w:t xml:space="preserve"> affaire le </w:t>
      </w:r>
      <w:proofErr w:type="spellStart"/>
      <w:r w:rsidRPr="00592DC6">
        <w:t>Comité</w:t>
      </w:r>
      <w:proofErr w:type="spellEnd"/>
      <w:r w:rsidRPr="00592DC6">
        <w:t xml:space="preserve">, a </w:t>
      </w:r>
      <w:proofErr w:type="spellStart"/>
      <w:r w:rsidRPr="00592DC6">
        <w:t>relevé</w:t>
      </w:r>
      <w:proofErr w:type="spellEnd"/>
      <w:r w:rsidRPr="00592DC6">
        <w:t xml:space="preserve"> </w:t>
      </w:r>
      <w:proofErr w:type="spellStart"/>
      <w:r w:rsidRPr="00592DC6">
        <w:t>dans</w:t>
      </w:r>
      <w:proofErr w:type="spellEnd"/>
      <w:r w:rsidRPr="00592DC6">
        <w:t xml:space="preserve"> le </w:t>
      </w:r>
      <w:proofErr w:type="spellStart"/>
      <w:r w:rsidRPr="00592DC6">
        <w:t>paragraphe</w:t>
      </w:r>
      <w:proofErr w:type="spellEnd"/>
      <w:r w:rsidRPr="00592DC6">
        <w:t xml:space="preserve"> 9.4 des </w:t>
      </w:r>
      <w:proofErr w:type="spellStart"/>
      <w:r w:rsidRPr="00592DC6">
        <w:t>constatations</w:t>
      </w:r>
      <w:proofErr w:type="spellEnd"/>
      <w:r w:rsidRPr="00592DC6">
        <w:t xml:space="preserve"> que « </w:t>
      </w:r>
      <w:proofErr w:type="spellStart"/>
      <w:r w:rsidRPr="00592DC6">
        <w:t>l’État</w:t>
      </w:r>
      <w:proofErr w:type="spellEnd"/>
      <w:r w:rsidRPr="00592DC6">
        <w:t xml:space="preserve"> </w:t>
      </w:r>
      <w:proofErr w:type="spellStart"/>
      <w:r w:rsidRPr="00592DC6">
        <w:t>partie</w:t>
      </w:r>
      <w:proofErr w:type="spellEnd"/>
      <w:r w:rsidRPr="00592DC6">
        <w:t xml:space="preserve"> </w:t>
      </w:r>
      <w:proofErr w:type="spellStart"/>
      <w:r w:rsidRPr="00592DC6">
        <w:t>conteste</w:t>
      </w:r>
      <w:proofErr w:type="spellEnd"/>
      <w:r w:rsidRPr="00592DC6">
        <w:t xml:space="preserve"> la </w:t>
      </w:r>
      <w:proofErr w:type="spellStart"/>
      <w:r w:rsidRPr="00592DC6">
        <w:t>recevabilité</w:t>
      </w:r>
      <w:proofErr w:type="spellEnd"/>
      <w:r w:rsidRPr="00592DC6">
        <w:t xml:space="preserve"> de la communication au motif que les griefs que </w:t>
      </w:r>
      <w:proofErr w:type="spellStart"/>
      <w:r w:rsidRPr="00592DC6">
        <w:t>l’auteur</w:t>
      </w:r>
      <w:proofErr w:type="spellEnd"/>
      <w:r w:rsidRPr="00592DC6">
        <w:t xml:space="preserve"> tire de </w:t>
      </w:r>
      <w:proofErr w:type="spellStart"/>
      <w:r w:rsidRPr="00592DC6">
        <w:t>l’article</w:t>
      </w:r>
      <w:proofErr w:type="spellEnd"/>
      <w:r w:rsidRPr="00592DC6">
        <w:t xml:space="preserve"> 7 du </w:t>
      </w:r>
      <w:proofErr w:type="spellStart"/>
      <w:r w:rsidRPr="00592DC6">
        <w:t>Pacte</w:t>
      </w:r>
      <w:proofErr w:type="spellEnd"/>
      <w:r w:rsidRPr="00592DC6">
        <w:t xml:space="preserve">, </w:t>
      </w:r>
      <w:proofErr w:type="spellStart"/>
      <w:r w:rsidRPr="00592DC6">
        <w:t>lu</w:t>
      </w:r>
      <w:proofErr w:type="spellEnd"/>
      <w:r w:rsidRPr="00592DC6">
        <w:t xml:space="preserve"> </w:t>
      </w:r>
      <w:proofErr w:type="spellStart"/>
      <w:r w:rsidRPr="00592DC6">
        <w:t>seul</w:t>
      </w:r>
      <w:proofErr w:type="spellEnd"/>
      <w:r w:rsidRPr="00592DC6">
        <w:t xml:space="preserve"> et </w:t>
      </w:r>
      <w:proofErr w:type="spellStart"/>
      <w:r w:rsidRPr="00592DC6">
        <w:t>conjointement</w:t>
      </w:r>
      <w:proofErr w:type="spellEnd"/>
      <w:r w:rsidRPr="00592DC6">
        <w:t xml:space="preserve"> avec le </w:t>
      </w:r>
      <w:proofErr w:type="spellStart"/>
      <w:r w:rsidRPr="00592DC6">
        <w:t>paragraphe</w:t>
      </w:r>
      <w:proofErr w:type="spellEnd"/>
      <w:r w:rsidRPr="00592DC6">
        <w:t xml:space="preserve"> 3 a) de </w:t>
      </w:r>
      <w:proofErr w:type="spellStart"/>
      <w:r w:rsidRPr="00592DC6">
        <w:t>l’article</w:t>
      </w:r>
      <w:proofErr w:type="spellEnd"/>
      <w:r w:rsidRPr="00592DC6">
        <w:t xml:space="preserve"> 2, ne </w:t>
      </w:r>
      <w:proofErr w:type="spellStart"/>
      <w:r w:rsidRPr="00592DC6">
        <w:t>sont</w:t>
      </w:r>
      <w:proofErr w:type="spellEnd"/>
      <w:r w:rsidRPr="00592DC6">
        <w:t xml:space="preserve"> </w:t>
      </w:r>
      <w:proofErr w:type="spellStart"/>
      <w:r w:rsidRPr="00592DC6">
        <w:t>manifestement</w:t>
      </w:r>
      <w:proofErr w:type="spellEnd"/>
      <w:r w:rsidRPr="00592DC6">
        <w:t xml:space="preserve"> pas </w:t>
      </w:r>
      <w:proofErr w:type="spellStart"/>
      <w:r w:rsidRPr="00592DC6">
        <w:t>fondés</w:t>
      </w:r>
      <w:proofErr w:type="spellEnd"/>
      <w:r w:rsidRPr="00592DC6">
        <w:t>. » (« </w:t>
      </w:r>
      <w:proofErr w:type="gramStart"/>
      <w:r w:rsidRPr="00592DC6">
        <w:t>manifestly</w:t>
      </w:r>
      <w:proofErr w:type="gramEnd"/>
      <w:r w:rsidRPr="00592DC6">
        <w:t xml:space="preserve"> ill-founded »). </w:t>
      </w:r>
      <w:proofErr w:type="spellStart"/>
      <w:r w:rsidRPr="00592DC6">
        <w:t>Ayant</w:t>
      </w:r>
      <w:proofErr w:type="spellEnd"/>
      <w:r w:rsidRPr="00592DC6">
        <w:t xml:space="preserve"> </w:t>
      </w:r>
      <w:proofErr w:type="spellStart"/>
      <w:r w:rsidRPr="00592DC6">
        <w:t>rejeté</w:t>
      </w:r>
      <w:proofErr w:type="spellEnd"/>
      <w:r w:rsidRPr="00592DC6">
        <w:t xml:space="preserve"> </w:t>
      </w:r>
      <w:proofErr w:type="spellStart"/>
      <w:proofErr w:type="gramStart"/>
      <w:r w:rsidRPr="00592DC6">
        <w:t>cet</w:t>
      </w:r>
      <w:proofErr w:type="spellEnd"/>
      <w:proofErr w:type="gramEnd"/>
      <w:r w:rsidRPr="00592DC6">
        <w:t xml:space="preserve"> argument, le </w:t>
      </w:r>
      <w:proofErr w:type="spellStart"/>
      <w:r w:rsidRPr="00592DC6">
        <w:t>comité</w:t>
      </w:r>
      <w:proofErr w:type="spellEnd"/>
      <w:r w:rsidRPr="00592DC6">
        <w:t xml:space="preserve"> </w:t>
      </w:r>
      <w:proofErr w:type="spellStart"/>
      <w:r w:rsidRPr="00592DC6">
        <w:t>est</w:t>
      </w:r>
      <w:proofErr w:type="spellEnd"/>
      <w:r w:rsidRPr="00592DC6">
        <w:t xml:space="preserve"> </w:t>
      </w:r>
      <w:proofErr w:type="spellStart"/>
      <w:r w:rsidRPr="00592DC6">
        <w:t>alors</w:t>
      </w:r>
      <w:proofErr w:type="spellEnd"/>
      <w:r w:rsidRPr="00592DC6">
        <w:t xml:space="preserve"> passé à </w:t>
      </w:r>
      <w:proofErr w:type="spellStart"/>
      <w:r w:rsidRPr="00592DC6">
        <w:t>l’examen</w:t>
      </w:r>
      <w:proofErr w:type="spellEnd"/>
      <w:r w:rsidRPr="00592DC6">
        <w:t xml:space="preserve"> du fond de </w:t>
      </w:r>
      <w:proofErr w:type="spellStart"/>
      <w:r w:rsidRPr="00592DC6">
        <w:t>l’affaire</w:t>
      </w:r>
      <w:proofErr w:type="spellEnd"/>
      <w:r w:rsidRPr="00592DC6">
        <w:t>.</w:t>
      </w:r>
    </w:p>
    <w:p w14:paraId="10B8F4A4" w14:textId="77777777" w:rsidR="003C3E47" w:rsidRPr="00592DC6" w:rsidRDefault="003C3E47" w:rsidP="003C3E47">
      <w:pPr>
        <w:pStyle w:val="SingleTxtG"/>
      </w:pPr>
      <w:r>
        <w:t>2.</w:t>
      </w:r>
      <w:r>
        <w:tab/>
      </w:r>
      <w:proofErr w:type="spellStart"/>
      <w:r w:rsidRPr="00592DC6">
        <w:t>En</w:t>
      </w:r>
      <w:proofErr w:type="spellEnd"/>
      <w:r w:rsidRPr="00592DC6">
        <w:t xml:space="preserve"> </w:t>
      </w:r>
      <w:proofErr w:type="spellStart"/>
      <w:r w:rsidRPr="00592DC6">
        <w:t>réalité</w:t>
      </w:r>
      <w:proofErr w:type="spellEnd"/>
      <w:r w:rsidRPr="00592DC6">
        <w:t xml:space="preserve">, </w:t>
      </w:r>
      <w:proofErr w:type="spellStart"/>
      <w:proofErr w:type="gramStart"/>
      <w:r w:rsidRPr="00592DC6">
        <w:t>cet</w:t>
      </w:r>
      <w:proofErr w:type="spellEnd"/>
      <w:proofErr w:type="gramEnd"/>
      <w:r w:rsidRPr="00592DC6">
        <w:t xml:space="preserve"> argument </w:t>
      </w:r>
      <w:proofErr w:type="spellStart"/>
      <w:r w:rsidRPr="00592DC6">
        <w:t>n’est</w:t>
      </w:r>
      <w:proofErr w:type="spellEnd"/>
      <w:r w:rsidRPr="00592DC6">
        <w:t xml:space="preserve"> pas </w:t>
      </w:r>
      <w:proofErr w:type="spellStart"/>
      <w:r w:rsidRPr="00592DC6">
        <w:t>vraiment</w:t>
      </w:r>
      <w:proofErr w:type="spellEnd"/>
      <w:r w:rsidRPr="00592DC6">
        <w:t xml:space="preserve"> </w:t>
      </w:r>
      <w:proofErr w:type="spellStart"/>
      <w:r w:rsidRPr="00592DC6">
        <w:t>celui</w:t>
      </w:r>
      <w:proofErr w:type="spellEnd"/>
      <w:r w:rsidRPr="00592DC6">
        <w:t xml:space="preserve"> de </w:t>
      </w:r>
      <w:proofErr w:type="spellStart"/>
      <w:r w:rsidRPr="00592DC6">
        <w:t>l’Etat</w:t>
      </w:r>
      <w:proofErr w:type="spellEnd"/>
      <w:r w:rsidRPr="00592DC6">
        <w:t xml:space="preserve"> </w:t>
      </w:r>
      <w:proofErr w:type="spellStart"/>
      <w:r w:rsidRPr="00592DC6">
        <w:t>partie</w:t>
      </w:r>
      <w:proofErr w:type="spellEnd"/>
      <w:r w:rsidRPr="00592DC6">
        <w:t xml:space="preserve">. Ce </w:t>
      </w:r>
      <w:proofErr w:type="spellStart"/>
      <w:r w:rsidRPr="00592DC6">
        <w:t>dernier</w:t>
      </w:r>
      <w:proofErr w:type="spellEnd"/>
      <w:r w:rsidRPr="00592DC6">
        <w:t xml:space="preserve"> </w:t>
      </w:r>
      <w:proofErr w:type="spellStart"/>
      <w:r w:rsidRPr="00592DC6">
        <w:t>développe</w:t>
      </w:r>
      <w:proofErr w:type="spellEnd"/>
      <w:r w:rsidRPr="00592DC6">
        <w:t xml:space="preserve"> </w:t>
      </w:r>
      <w:proofErr w:type="gramStart"/>
      <w:r w:rsidRPr="00592DC6">
        <w:t>un</w:t>
      </w:r>
      <w:proofErr w:type="gramEnd"/>
      <w:r w:rsidRPr="00592DC6">
        <w:t xml:space="preserve"> </w:t>
      </w:r>
      <w:proofErr w:type="spellStart"/>
      <w:r w:rsidRPr="00592DC6">
        <w:t>argumentaire</w:t>
      </w:r>
      <w:proofErr w:type="spellEnd"/>
      <w:r w:rsidRPr="00592DC6">
        <w:t xml:space="preserve"> </w:t>
      </w:r>
      <w:proofErr w:type="spellStart"/>
      <w:r w:rsidRPr="00592DC6">
        <w:t>différent</w:t>
      </w:r>
      <w:proofErr w:type="spellEnd"/>
      <w:r w:rsidRPr="00592DC6">
        <w:t xml:space="preserve">, de </w:t>
      </w:r>
      <w:proofErr w:type="spellStart"/>
      <w:r w:rsidRPr="00592DC6">
        <w:t>caractère</w:t>
      </w:r>
      <w:proofErr w:type="spellEnd"/>
      <w:r w:rsidRPr="00592DC6">
        <w:t xml:space="preserve"> </w:t>
      </w:r>
      <w:proofErr w:type="spellStart"/>
      <w:r w:rsidRPr="00592DC6">
        <w:t>procédural</w:t>
      </w:r>
      <w:proofErr w:type="spellEnd"/>
      <w:r w:rsidRPr="00592DC6">
        <w:t xml:space="preserve">, </w:t>
      </w:r>
      <w:proofErr w:type="spellStart"/>
      <w:r w:rsidRPr="00592DC6">
        <w:t>tiré</w:t>
      </w:r>
      <w:proofErr w:type="spellEnd"/>
      <w:r w:rsidRPr="00592DC6">
        <w:t xml:space="preserve"> de </w:t>
      </w:r>
      <w:proofErr w:type="spellStart"/>
      <w:r w:rsidRPr="00592DC6">
        <w:t>l’article</w:t>
      </w:r>
      <w:proofErr w:type="spellEnd"/>
      <w:r w:rsidRPr="00592DC6">
        <w:t xml:space="preserve"> 5 (2) (b), du Protocol </w:t>
      </w:r>
      <w:proofErr w:type="spellStart"/>
      <w:r w:rsidRPr="00592DC6">
        <w:t>facultatif</w:t>
      </w:r>
      <w:proofErr w:type="spellEnd"/>
      <w:r w:rsidRPr="00592DC6">
        <w:t xml:space="preserve">. </w:t>
      </w:r>
      <w:proofErr w:type="spellStart"/>
      <w:r w:rsidRPr="00592DC6">
        <w:t>Cet</w:t>
      </w:r>
      <w:proofErr w:type="spellEnd"/>
      <w:r w:rsidRPr="00592DC6">
        <w:t xml:space="preserve"> article se lit </w:t>
      </w:r>
      <w:proofErr w:type="spellStart"/>
      <w:proofErr w:type="gramStart"/>
      <w:r w:rsidRPr="00592DC6">
        <w:t>ainsi</w:t>
      </w:r>
      <w:proofErr w:type="spellEnd"/>
      <w:r w:rsidRPr="00592DC6">
        <w:t> :</w:t>
      </w:r>
      <w:proofErr w:type="gramEnd"/>
      <w:r w:rsidRPr="00592DC6">
        <w:t xml:space="preserve"> « Le </w:t>
      </w:r>
      <w:proofErr w:type="spellStart"/>
      <w:r w:rsidRPr="00592DC6">
        <w:t>Comité</w:t>
      </w:r>
      <w:proofErr w:type="spellEnd"/>
      <w:r w:rsidRPr="00592DC6">
        <w:t xml:space="preserve"> </w:t>
      </w:r>
      <w:proofErr w:type="spellStart"/>
      <w:r w:rsidRPr="00592DC6">
        <w:t>n'examinera</w:t>
      </w:r>
      <w:proofErr w:type="spellEnd"/>
      <w:r w:rsidRPr="00592DC6">
        <w:t xml:space="preserve"> </w:t>
      </w:r>
      <w:proofErr w:type="spellStart"/>
      <w:r w:rsidRPr="00592DC6">
        <w:t>aucune</w:t>
      </w:r>
      <w:proofErr w:type="spellEnd"/>
      <w:r w:rsidRPr="00592DC6">
        <w:t xml:space="preserve"> communication d'un </w:t>
      </w:r>
      <w:proofErr w:type="spellStart"/>
      <w:r w:rsidRPr="00592DC6">
        <w:t>particulier</w:t>
      </w:r>
      <w:proofErr w:type="spellEnd"/>
      <w:r w:rsidRPr="00592DC6">
        <w:t xml:space="preserve"> sans </w:t>
      </w:r>
      <w:proofErr w:type="spellStart"/>
      <w:r w:rsidRPr="00592DC6">
        <w:t>s'être</w:t>
      </w:r>
      <w:proofErr w:type="spellEnd"/>
      <w:r w:rsidRPr="00592DC6">
        <w:t xml:space="preserve"> </w:t>
      </w:r>
      <w:proofErr w:type="spellStart"/>
      <w:r w:rsidRPr="00592DC6">
        <w:t>assuré</w:t>
      </w:r>
      <w:proofErr w:type="spellEnd"/>
      <w:r w:rsidRPr="00592DC6">
        <w:t xml:space="preserve"> que: …b) Le </w:t>
      </w:r>
      <w:proofErr w:type="spellStart"/>
      <w:r w:rsidRPr="00592DC6">
        <w:t>particulier</w:t>
      </w:r>
      <w:proofErr w:type="spellEnd"/>
      <w:r w:rsidRPr="00592DC6">
        <w:t xml:space="preserve"> a </w:t>
      </w:r>
      <w:proofErr w:type="spellStart"/>
      <w:r w:rsidRPr="00592DC6">
        <w:t>épuisé</w:t>
      </w:r>
      <w:proofErr w:type="spellEnd"/>
      <w:r w:rsidRPr="00592DC6">
        <w:t xml:space="preserve"> </w:t>
      </w:r>
      <w:proofErr w:type="spellStart"/>
      <w:r w:rsidRPr="00592DC6">
        <w:t>tous</w:t>
      </w:r>
      <w:proofErr w:type="spellEnd"/>
      <w:r w:rsidRPr="00592DC6">
        <w:t xml:space="preserve"> les </w:t>
      </w:r>
      <w:proofErr w:type="spellStart"/>
      <w:r w:rsidRPr="00592DC6">
        <w:t>recours</w:t>
      </w:r>
      <w:proofErr w:type="spellEnd"/>
      <w:r w:rsidRPr="00592DC6">
        <w:t xml:space="preserve"> internes </w:t>
      </w:r>
      <w:proofErr w:type="spellStart"/>
      <w:r w:rsidRPr="00592DC6">
        <w:t>disponibles</w:t>
      </w:r>
      <w:proofErr w:type="spellEnd"/>
      <w:r w:rsidRPr="00592DC6">
        <w:t xml:space="preserve">». </w:t>
      </w:r>
      <w:proofErr w:type="spellStart"/>
      <w:r w:rsidRPr="00592DC6">
        <w:t>L’article</w:t>
      </w:r>
      <w:proofErr w:type="spellEnd"/>
      <w:r w:rsidRPr="00592DC6">
        <w:t xml:space="preserve"> 5 a </w:t>
      </w:r>
      <w:proofErr w:type="spellStart"/>
      <w:r w:rsidRPr="00592DC6">
        <w:t>une</w:t>
      </w:r>
      <w:proofErr w:type="spellEnd"/>
      <w:r w:rsidRPr="00592DC6">
        <w:t xml:space="preserve"> double </w:t>
      </w:r>
      <w:proofErr w:type="spellStart"/>
      <w:proofErr w:type="gramStart"/>
      <w:r w:rsidRPr="00592DC6">
        <w:t>portée</w:t>
      </w:r>
      <w:proofErr w:type="spellEnd"/>
      <w:r w:rsidRPr="00592DC6">
        <w:t> :</w:t>
      </w:r>
      <w:proofErr w:type="gramEnd"/>
    </w:p>
    <w:p w14:paraId="228DEDFA" w14:textId="77777777" w:rsidR="003C3E47" w:rsidRPr="00592DC6" w:rsidRDefault="003C3E47" w:rsidP="003C3E47">
      <w:pPr>
        <w:pStyle w:val="SingleTxtG"/>
      </w:pPr>
      <w:r w:rsidRPr="00592DC6">
        <w:t xml:space="preserve">a) Il </w:t>
      </w:r>
      <w:proofErr w:type="spellStart"/>
      <w:r w:rsidRPr="00592DC6">
        <w:t>signifie</w:t>
      </w:r>
      <w:proofErr w:type="spellEnd"/>
      <w:r w:rsidRPr="00592DC6">
        <w:t xml:space="preserve"> tout </w:t>
      </w:r>
      <w:proofErr w:type="spellStart"/>
      <w:r w:rsidRPr="00592DC6">
        <w:t>d’abord</w:t>
      </w:r>
      <w:proofErr w:type="spellEnd"/>
      <w:r w:rsidRPr="00592DC6">
        <w:t xml:space="preserve"> que, </w:t>
      </w:r>
      <w:proofErr w:type="spellStart"/>
      <w:r w:rsidRPr="00592DC6">
        <w:t>globalement</w:t>
      </w:r>
      <w:proofErr w:type="spellEnd"/>
      <w:r w:rsidRPr="00592DC6">
        <w:t xml:space="preserve">, le </w:t>
      </w:r>
      <w:proofErr w:type="spellStart"/>
      <w:proofErr w:type="gramStart"/>
      <w:r w:rsidRPr="00592DC6">
        <w:t>cas</w:t>
      </w:r>
      <w:proofErr w:type="spellEnd"/>
      <w:proofErr w:type="gramEnd"/>
      <w:r w:rsidRPr="00592DC6">
        <w:t xml:space="preserve"> </w:t>
      </w:r>
      <w:proofErr w:type="spellStart"/>
      <w:r w:rsidRPr="00592DC6">
        <w:t>doit</w:t>
      </w:r>
      <w:proofErr w:type="spellEnd"/>
      <w:r w:rsidRPr="00592DC6">
        <w:t xml:space="preserve"> </w:t>
      </w:r>
      <w:proofErr w:type="spellStart"/>
      <w:r w:rsidRPr="00592DC6">
        <w:t>être</w:t>
      </w:r>
      <w:proofErr w:type="spellEnd"/>
      <w:r w:rsidRPr="00592DC6">
        <w:t xml:space="preserve"> </w:t>
      </w:r>
      <w:proofErr w:type="spellStart"/>
      <w:r w:rsidRPr="00592DC6">
        <w:t>soumis</w:t>
      </w:r>
      <w:proofErr w:type="spellEnd"/>
      <w:r w:rsidRPr="00592DC6">
        <w:t xml:space="preserve"> aux </w:t>
      </w:r>
      <w:proofErr w:type="spellStart"/>
      <w:r w:rsidRPr="00592DC6">
        <w:t>tribunaux</w:t>
      </w:r>
      <w:proofErr w:type="spellEnd"/>
      <w:r w:rsidRPr="00592DC6">
        <w:t xml:space="preserve"> internes </w:t>
      </w:r>
      <w:proofErr w:type="spellStart"/>
      <w:r w:rsidRPr="00592DC6">
        <w:t>avant</w:t>
      </w:r>
      <w:proofErr w:type="spellEnd"/>
      <w:r w:rsidRPr="00592DC6">
        <w:t xml:space="preserve"> de </w:t>
      </w:r>
      <w:proofErr w:type="spellStart"/>
      <w:r w:rsidRPr="00592DC6">
        <w:t>pouvoir</w:t>
      </w:r>
      <w:proofErr w:type="spellEnd"/>
      <w:r w:rsidRPr="00592DC6">
        <w:t xml:space="preserve"> </w:t>
      </w:r>
      <w:proofErr w:type="spellStart"/>
      <w:r w:rsidRPr="00592DC6">
        <w:t>être</w:t>
      </w:r>
      <w:proofErr w:type="spellEnd"/>
      <w:r w:rsidRPr="00592DC6">
        <w:t xml:space="preserve"> </w:t>
      </w:r>
      <w:proofErr w:type="spellStart"/>
      <w:r w:rsidRPr="00592DC6">
        <w:t>examiné</w:t>
      </w:r>
      <w:proofErr w:type="spellEnd"/>
      <w:r w:rsidRPr="00592DC6">
        <w:t xml:space="preserve"> par le </w:t>
      </w:r>
      <w:proofErr w:type="spellStart"/>
      <w:r w:rsidRPr="00592DC6">
        <w:t>comité</w:t>
      </w:r>
      <w:proofErr w:type="spellEnd"/>
      <w:r w:rsidRPr="00592DC6">
        <w:t xml:space="preserve">. </w:t>
      </w:r>
      <w:proofErr w:type="spellStart"/>
      <w:r w:rsidRPr="00592DC6">
        <w:t>L’expression</w:t>
      </w:r>
      <w:proofErr w:type="spellEnd"/>
      <w:r w:rsidRPr="00592DC6">
        <w:t xml:space="preserve"> « </w:t>
      </w:r>
      <w:proofErr w:type="spellStart"/>
      <w:r w:rsidRPr="00592DC6">
        <w:t>tous</w:t>
      </w:r>
      <w:proofErr w:type="spellEnd"/>
      <w:r w:rsidRPr="00592DC6">
        <w:t xml:space="preserve"> les </w:t>
      </w:r>
      <w:proofErr w:type="spellStart"/>
      <w:r w:rsidRPr="00592DC6">
        <w:t>recours</w:t>
      </w:r>
      <w:proofErr w:type="spellEnd"/>
      <w:r w:rsidRPr="00592DC6">
        <w:t xml:space="preserve"> » </w:t>
      </w:r>
      <w:proofErr w:type="spellStart"/>
      <w:proofErr w:type="gramStart"/>
      <w:r w:rsidRPr="00592DC6">
        <w:t>est</w:t>
      </w:r>
      <w:proofErr w:type="spellEnd"/>
      <w:proofErr w:type="gramEnd"/>
      <w:r w:rsidRPr="00592DC6">
        <w:t xml:space="preserve"> certes </w:t>
      </w:r>
      <w:proofErr w:type="spellStart"/>
      <w:r w:rsidRPr="00592DC6">
        <w:t>problématique</w:t>
      </w:r>
      <w:proofErr w:type="spellEnd"/>
      <w:r w:rsidRPr="00592DC6">
        <w:t xml:space="preserve">, </w:t>
      </w:r>
      <w:proofErr w:type="spellStart"/>
      <w:r w:rsidRPr="00592DC6">
        <w:t>mais</w:t>
      </w:r>
      <w:proofErr w:type="spellEnd"/>
      <w:r w:rsidRPr="00592DC6">
        <w:t xml:space="preserve"> nous ne la </w:t>
      </w:r>
      <w:proofErr w:type="spellStart"/>
      <w:r w:rsidRPr="00592DC6">
        <w:t>discuterons</w:t>
      </w:r>
      <w:proofErr w:type="spellEnd"/>
      <w:r w:rsidRPr="00592DC6">
        <w:t xml:space="preserve"> pas </w:t>
      </w:r>
      <w:proofErr w:type="spellStart"/>
      <w:r w:rsidRPr="00592DC6">
        <w:t>ici</w:t>
      </w:r>
      <w:proofErr w:type="spellEnd"/>
      <w:r w:rsidRPr="00592DC6">
        <w:t xml:space="preserve">, </w:t>
      </w:r>
      <w:proofErr w:type="spellStart"/>
      <w:r w:rsidRPr="00592DC6">
        <w:t>parce</w:t>
      </w:r>
      <w:proofErr w:type="spellEnd"/>
      <w:r w:rsidRPr="00592DC6">
        <w:t xml:space="preserve"> </w:t>
      </w:r>
      <w:proofErr w:type="spellStart"/>
      <w:r w:rsidRPr="00592DC6">
        <w:t>qu’elle</w:t>
      </w:r>
      <w:proofErr w:type="spellEnd"/>
      <w:r w:rsidRPr="00592DC6">
        <w:t xml:space="preserve"> </w:t>
      </w:r>
      <w:proofErr w:type="spellStart"/>
      <w:r w:rsidRPr="00592DC6">
        <w:t>déborde</w:t>
      </w:r>
      <w:proofErr w:type="spellEnd"/>
      <w:r w:rsidRPr="00592DC6">
        <w:t xml:space="preserve"> le cadre de </w:t>
      </w:r>
      <w:proofErr w:type="spellStart"/>
      <w:r w:rsidRPr="00592DC6">
        <w:t>notre</w:t>
      </w:r>
      <w:proofErr w:type="spellEnd"/>
      <w:r w:rsidRPr="00592DC6">
        <w:t xml:space="preserve"> analyse de la </w:t>
      </w:r>
      <w:proofErr w:type="spellStart"/>
      <w:r w:rsidRPr="00592DC6">
        <w:t>présente</w:t>
      </w:r>
      <w:proofErr w:type="spellEnd"/>
      <w:r w:rsidRPr="00592DC6">
        <w:t xml:space="preserve"> </w:t>
      </w:r>
      <w:proofErr w:type="spellStart"/>
      <w:r w:rsidRPr="00592DC6">
        <w:t>affaire</w:t>
      </w:r>
      <w:proofErr w:type="spellEnd"/>
      <w:r w:rsidRPr="00592DC6">
        <w:t xml:space="preserve">. </w:t>
      </w:r>
    </w:p>
    <w:p w14:paraId="39EF64B7" w14:textId="26365CF3" w:rsidR="003C3E47" w:rsidRPr="00592DC6" w:rsidRDefault="003C3E47" w:rsidP="003C3E47">
      <w:pPr>
        <w:pStyle w:val="SingleTxtG"/>
      </w:pPr>
      <w:r w:rsidRPr="00592DC6">
        <w:t xml:space="preserve">b) </w:t>
      </w:r>
      <w:proofErr w:type="spellStart"/>
      <w:r w:rsidRPr="00592DC6">
        <w:t>Mais</w:t>
      </w:r>
      <w:proofErr w:type="spellEnd"/>
      <w:r w:rsidRPr="00592DC6">
        <w:t xml:space="preserve"> </w:t>
      </w:r>
      <w:proofErr w:type="spellStart"/>
      <w:r w:rsidRPr="00592DC6">
        <w:t>l’article</w:t>
      </w:r>
      <w:proofErr w:type="spellEnd"/>
      <w:r w:rsidRPr="00592DC6">
        <w:t xml:space="preserve"> </w:t>
      </w:r>
      <w:r w:rsidR="0011319F">
        <w:t>(</w:t>
      </w:r>
      <w:r w:rsidRPr="00592DC6">
        <w:t>5</w:t>
      </w:r>
      <w:r w:rsidR="0011319F">
        <w:t xml:space="preserve">) </w:t>
      </w:r>
      <w:r w:rsidRPr="00592DC6">
        <w:t>2</w:t>
      </w:r>
      <w:r w:rsidR="0011319F">
        <w:t xml:space="preserve"> </w:t>
      </w:r>
      <w:proofErr w:type="gramStart"/>
      <w:r w:rsidR="0011319F">
        <w:t>(</w:t>
      </w:r>
      <w:r w:rsidRPr="00592DC6">
        <w:t xml:space="preserve"> b</w:t>
      </w:r>
      <w:proofErr w:type="gramEnd"/>
      <w:r w:rsidR="0011319F">
        <w:t>)</w:t>
      </w:r>
      <w:r w:rsidRPr="00592DC6">
        <w:t xml:space="preserve"> </w:t>
      </w:r>
      <w:proofErr w:type="spellStart"/>
      <w:r w:rsidRPr="00592DC6">
        <w:t>signifie</w:t>
      </w:r>
      <w:proofErr w:type="spellEnd"/>
      <w:r w:rsidRPr="00592DC6">
        <w:t xml:space="preserve">, par </w:t>
      </w:r>
      <w:proofErr w:type="spellStart"/>
      <w:r w:rsidRPr="00592DC6">
        <w:t>ailleurs</w:t>
      </w:r>
      <w:proofErr w:type="spellEnd"/>
      <w:r w:rsidRPr="00592DC6">
        <w:t xml:space="preserve">, que </w:t>
      </w:r>
      <w:proofErr w:type="spellStart"/>
      <w:r w:rsidRPr="00592DC6">
        <w:t>chaque</w:t>
      </w:r>
      <w:proofErr w:type="spellEnd"/>
      <w:r w:rsidRPr="00592DC6">
        <w:t xml:space="preserve"> grief </w:t>
      </w:r>
      <w:proofErr w:type="spellStart"/>
      <w:r w:rsidRPr="00592DC6">
        <w:t>particulier</w:t>
      </w:r>
      <w:proofErr w:type="spellEnd"/>
      <w:r w:rsidRPr="00592DC6">
        <w:t xml:space="preserve"> </w:t>
      </w:r>
      <w:proofErr w:type="spellStart"/>
      <w:r w:rsidRPr="00592DC6">
        <w:t>soulevé</w:t>
      </w:r>
      <w:proofErr w:type="spellEnd"/>
      <w:r w:rsidRPr="00592DC6">
        <w:t xml:space="preserve"> </w:t>
      </w:r>
      <w:proofErr w:type="spellStart"/>
      <w:r w:rsidRPr="00592DC6">
        <w:t>devant</w:t>
      </w:r>
      <w:proofErr w:type="spellEnd"/>
      <w:r w:rsidRPr="00592DC6">
        <w:t xml:space="preserve"> le </w:t>
      </w:r>
      <w:proofErr w:type="spellStart"/>
      <w:r w:rsidRPr="00592DC6">
        <w:t>comité</w:t>
      </w:r>
      <w:proofErr w:type="spellEnd"/>
      <w:r w:rsidRPr="00592DC6">
        <w:t xml:space="preserve"> </w:t>
      </w:r>
      <w:proofErr w:type="spellStart"/>
      <w:r w:rsidRPr="00592DC6">
        <w:t>doit</w:t>
      </w:r>
      <w:proofErr w:type="spellEnd"/>
      <w:r w:rsidRPr="00592DC6">
        <w:t xml:space="preserve"> </w:t>
      </w:r>
      <w:proofErr w:type="spellStart"/>
      <w:r w:rsidRPr="00592DC6">
        <w:t>avoir</w:t>
      </w:r>
      <w:proofErr w:type="spellEnd"/>
      <w:r w:rsidRPr="00592DC6">
        <w:t xml:space="preserve"> </w:t>
      </w:r>
      <w:proofErr w:type="spellStart"/>
      <w:r w:rsidRPr="00592DC6">
        <w:t>été</w:t>
      </w:r>
      <w:proofErr w:type="spellEnd"/>
      <w:r w:rsidRPr="00592DC6">
        <w:t xml:space="preserve"> </w:t>
      </w:r>
      <w:proofErr w:type="spellStart"/>
      <w:r w:rsidRPr="00592DC6">
        <w:t>préalablement</w:t>
      </w:r>
      <w:proofErr w:type="spellEnd"/>
      <w:r w:rsidRPr="00592DC6">
        <w:t xml:space="preserve"> </w:t>
      </w:r>
      <w:proofErr w:type="spellStart"/>
      <w:r w:rsidRPr="00592DC6">
        <w:t>soumis</w:t>
      </w:r>
      <w:proofErr w:type="spellEnd"/>
      <w:r w:rsidRPr="00592DC6">
        <w:t xml:space="preserve"> aux </w:t>
      </w:r>
      <w:proofErr w:type="spellStart"/>
      <w:r w:rsidRPr="00592DC6">
        <w:t>tribunaux</w:t>
      </w:r>
      <w:proofErr w:type="spellEnd"/>
      <w:r w:rsidRPr="00592DC6">
        <w:t xml:space="preserve"> internes </w:t>
      </w:r>
      <w:proofErr w:type="spellStart"/>
      <w:r w:rsidRPr="00592DC6">
        <w:t>saisis</w:t>
      </w:r>
      <w:proofErr w:type="spellEnd"/>
      <w:r w:rsidRPr="00592DC6">
        <w:t xml:space="preserve"> par </w:t>
      </w:r>
      <w:proofErr w:type="spellStart"/>
      <w:r w:rsidRPr="00592DC6">
        <w:t>voie</w:t>
      </w:r>
      <w:proofErr w:type="spellEnd"/>
      <w:r w:rsidRPr="00592DC6">
        <w:t xml:space="preserve"> de </w:t>
      </w:r>
      <w:proofErr w:type="spellStart"/>
      <w:r w:rsidRPr="00592DC6">
        <w:t>recours</w:t>
      </w:r>
      <w:proofErr w:type="spellEnd"/>
      <w:r w:rsidRPr="00592DC6">
        <w:t xml:space="preserve"> </w:t>
      </w:r>
      <w:proofErr w:type="spellStart"/>
      <w:r w:rsidRPr="00592DC6">
        <w:t>juridictionnels</w:t>
      </w:r>
      <w:proofErr w:type="spellEnd"/>
      <w:r w:rsidRPr="00592DC6">
        <w:t xml:space="preserve">. </w:t>
      </w:r>
    </w:p>
    <w:p w14:paraId="2FF7929A" w14:textId="77777777" w:rsidR="003C3E47" w:rsidRPr="00592DC6" w:rsidRDefault="003C3E47" w:rsidP="003C3E47">
      <w:pPr>
        <w:pStyle w:val="SingleTxtG"/>
      </w:pPr>
      <w:r>
        <w:t>3.</w:t>
      </w:r>
      <w:r>
        <w:tab/>
      </w:r>
      <w:r w:rsidRPr="00592DC6">
        <w:t xml:space="preserve">Or, </w:t>
      </w:r>
      <w:proofErr w:type="spellStart"/>
      <w:r w:rsidRPr="00592DC6">
        <w:t>dans</w:t>
      </w:r>
      <w:proofErr w:type="spellEnd"/>
      <w:r w:rsidRPr="00592DC6">
        <w:t xml:space="preserve"> la </w:t>
      </w:r>
      <w:proofErr w:type="spellStart"/>
      <w:r w:rsidRPr="00592DC6">
        <w:t>présente</w:t>
      </w:r>
      <w:proofErr w:type="spellEnd"/>
      <w:r w:rsidRPr="00592DC6">
        <w:t xml:space="preserve"> </w:t>
      </w:r>
      <w:proofErr w:type="spellStart"/>
      <w:r w:rsidRPr="00592DC6">
        <w:t>affaire</w:t>
      </w:r>
      <w:proofErr w:type="spellEnd"/>
      <w:r w:rsidRPr="00592DC6">
        <w:t xml:space="preserve">, </w:t>
      </w:r>
      <w:proofErr w:type="spellStart"/>
      <w:r w:rsidRPr="00592DC6">
        <w:t>l’État</w:t>
      </w:r>
      <w:proofErr w:type="spellEnd"/>
      <w:r w:rsidRPr="00592DC6">
        <w:t xml:space="preserve"> a </w:t>
      </w:r>
      <w:proofErr w:type="spellStart"/>
      <w:r w:rsidRPr="00592DC6">
        <w:t>particulièrement</w:t>
      </w:r>
      <w:proofErr w:type="spellEnd"/>
      <w:r w:rsidRPr="00592DC6">
        <w:t xml:space="preserve"> </w:t>
      </w:r>
      <w:proofErr w:type="spellStart"/>
      <w:r w:rsidRPr="00592DC6">
        <w:t>insisté</w:t>
      </w:r>
      <w:proofErr w:type="spellEnd"/>
      <w:r w:rsidRPr="00592DC6">
        <w:t xml:space="preserve"> sur </w:t>
      </w:r>
      <w:proofErr w:type="spellStart"/>
      <w:r w:rsidRPr="00592DC6">
        <w:t>l’argument</w:t>
      </w:r>
      <w:proofErr w:type="spellEnd"/>
      <w:r w:rsidRPr="00592DC6">
        <w:t xml:space="preserve"> </w:t>
      </w:r>
      <w:proofErr w:type="spellStart"/>
      <w:r w:rsidRPr="00592DC6">
        <w:t>d’après</w:t>
      </w:r>
      <w:proofErr w:type="spellEnd"/>
      <w:r w:rsidRPr="00592DC6">
        <w:t xml:space="preserve"> </w:t>
      </w:r>
      <w:proofErr w:type="spellStart"/>
      <w:r w:rsidRPr="00592DC6">
        <w:t>lequel</w:t>
      </w:r>
      <w:proofErr w:type="spellEnd"/>
      <w:r w:rsidRPr="00592DC6">
        <w:t xml:space="preserve"> </w:t>
      </w:r>
      <w:proofErr w:type="spellStart"/>
      <w:r w:rsidRPr="00592DC6">
        <w:t>l’auteur</w:t>
      </w:r>
      <w:proofErr w:type="spellEnd"/>
      <w:r w:rsidRPr="00592DC6">
        <w:t xml:space="preserve"> </w:t>
      </w:r>
      <w:proofErr w:type="spellStart"/>
      <w:r w:rsidRPr="00592DC6">
        <w:t>n’a</w:t>
      </w:r>
      <w:proofErr w:type="spellEnd"/>
      <w:r w:rsidRPr="00592DC6">
        <w:t xml:space="preserve"> </w:t>
      </w:r>
      <w:proofErr w:type="spellStart"/>
      <w:r w:rsidRPr="00592DC6">
        <w:t>développé</w:t>
      </w:r>
      <w:proofErr w:type="spellEnd"/>
      <w:r w:rsidRPr="00592DC6">
        <w:t xml:space="preserve"> </w:t>
      </w:r>
      <w:proofErr w:type="spellStart"/>
      <w:r w:rsidRPr="00592DC6">
        <w:t>ni</w:t>
      </w:r>
      <w:proofErr w:type="spellEnd"/>
      <w:r w:rsidRPr="00592DC6">
        <w:t xml:space="preserve"> </w:t>
      </w:r>
      <w:proofErr w:type="spellStart"/>
      <w:r w:rsidRPr="00592DC6">
        <w:t>devant</w:t>
      </w:r>
      <w:proofErr w:type="spellEnd"/>
      <w:r w:rsidRPr="00592DC6">
        <w:t xml:space="preserve"> les </w:t>
      </w:r>
      <w:proofErr w:type="spellStart"/>
      <w:r w:rsidRPr="00592DC6">
        <w:t>autorités</w:t>
      </w:r>
      <w:proofErr w:type="spellEnd"/>
      <w:r w:rsidRPr="00592DC6">
        <w:t xml:space="preserve"> </w:t>
      </w:r>
      <w:proofErr w:type="spellStart"/>
      <w:r w:rsidRPr="00592DC6">
        <w:t>administratives</w:t>
      </w:r>
      <w:proofErr w:type="spellEnd"/>
      <w:r w:rsidRPr="00592DC6">
        <w:t xml:space="preserve">, </w:t>
      </w:r>
      <w:proofErr w:type="spellStart"/>
      <w:r w:rsidRPr="00592DC6">
        <w:t>ni</w:t>
      </w:r>
      <w:proofErr w:type="spellEnd"/>
      <w:r w:rsidRPr="00592DC6">
        <w:t xml:space="preserve"> </w:t>
      </w:r>
      <w:proofErr w:type="spellStart"/>
      <w:r w:rsidRPr="00592DC6">
        <w:t>devant</w:t>
      </w:r>
      <w:proofErr w:type="spellEnd"/>
      <w:r w:rsidRPr="00592DC6">
        <w:t xml:space="preserve"> les </w:t>
      </w:r>
      <w:proofErr w:type="spellStart"/>
      <w:r w:rsidRPr="00592DC6">
        <w:t>autorités</w:t>
      </w:r>
      <w:proofErr w:type="spellEnd"/>
      <w:r w:rsidRPr="00592DC6">
        <w:t xml:space="preserve"> </w:t>
      </w:r>
      <w:proofErr w:type="spellStart"/>
      <w:r w:rsidRPr="00592DC6">
        <w:t>judiciaires</w:t>
      </w:r>
      <w:proofErr w:type="spellEnd"/>
      <w:r w:rsidRPr="00592DC6">
        <w:t xml:space="preserve"> </w:t>
      </w:r>
      <w:proofErr w:type="spellStart"/>
      <w:r w:rsidRPr="00592DC6">
        <w:t>hongroises</w:t>
      </w:r>
      <w:proofErr w:type="spellEnd"/>
      <w:r w:rsidRPr="00592DC6">
        <w:t xml:space="preserve">, </w:t>
      </w:r>
      <w:proofErr w:type="spellStart"/>
      <w:r w:rsidRPr="00592DC6">
        <w:t>aussi</w:t>
      </w:r>
      <w:proofErr w:type="spellEnd"/>
      <w:r w:rsidRPr="00592DC6">
        <w:t xml:space="preserve"> </w:t>
      </w:r>
      <w:proofErr w:type="spellStart"/>
      <w:r w:rsidRPr="00592DC6">
        <w:t>bien</w:t>
      </w:r>
      <w:proofErr w:type="spellEnd"/>
      <w:r w:rsidRPr="00592DC6">
        <w:t xml:space="preserve"> sur le plan des </w:t>
      </w:r>
      <w:proofErr w:type="spellStart"/>
      <w:r w:rsidRPr="00592DC6">
        <w:t>faits</w:t>
      </w:r>
      <w:proofErr w:type="spellEnd"/>
      <w:r w:rsidRPr="00592DC6">
        <w:t xml:space="preserve"> que sur le plan du droit, les griefs </w:t>
      </w:r>
      <w:proofErr w:type="spellStart"/>
      <w:r w:rsidRPr="00592DC6">
        <w:t>qu’il</w:t>
      </w:r>
      <w:proofErr w:type="spellEnd"/>
      <w:r w:rsidRPr="00592DC6">
        <w:t xml:space="preserve"> </w:t>
      </w:r>
      <w:proofErr w:type="spellStart"/>
      <w:r w:rsidRPr="00592DC6">
        <w:t>développe</w:t>
      </w:r>
      <w:proofErr w:type="spellEnd"/>
      <w:r w:rsidRPr="00592DC6">
        <w:t xml:space="preserve"> </w:t>
      </w:r>
      <w:proofErr w:type="spellStart"/>
      <w:r w:rsidRPr="00592DC6">
        <w:t>devant</w:t>
      </w:r>
      <w:proofErr w:type="spellEnd"/>
      <w:r w:rsidRPr="00592DC6">
        <w:t xml:space="preserve"> le </w:t>
      </w:r>
      <w:proofErr w:type="spellStart"/>
      <w:r w:rsidRPr="00592DC6">
        <w:t>comité</w:t>
      </w:r>
      <w:proofErr w:type="spellEnd"/>
      <w:r w:rsidRPr="00592DC6">
        <w:t xml:space="preserve">. Tout </w:t>
      </w:r>
      <w:proofErr w:type="spellStart"/>
      <w:r w:rsidRPr="00592DC6">
        <w:t>d’abord</w:t>
      </w:r>
      <w:proofErr w:type="spellEnd"/>
      <w:r w:rsidRPr="00592DC6">
        <w:t xml:space="preserve">, </w:t>
      </w:r>
      <w:proofErr w:type="spellStart"/>
      <w:r w:rsidRPr="00592DC6">
        <w:t>l’auteur</w:t>
      </w:r>
      <w:proofErr w:type="spellEnd"/>
      <w:r w:rsidRPr="00592DC6">
        <w:t xml:space="preserve"> </w:t>
      </w:r>
      <w:proofErr w:type="spellStart"/>
      <w:r w:rsidRPr="00592DC6">
        <w:t>n’a</w:t>
      </w:r>
      <w:proofErr w:type="spellEnd"/>
      <w:r w:rsidRPr="00592DC6">
        <w:t xml:space="preserve"> pas </w:t>
      </w:r>
      <w:proofErr w:type="spellStart"/>
      <w:r w:rsidRPr="00592DC6">
        <w:t>développé</w:t>
      </w:r>
      <w:proofErr w:type="spellEnd"/>
      <w:r w:rsidRPr="00592DC6">
        <w:t xml:space="preserve"> les conditions </w:t>
      </w:r>
      <w:proofErr w:type="gramStart"/>
      <w:r w:rsidRPr="00592DC6">
        <w:t>et</w:t>
      </w:r>
      <w:proofErr w:type="gramEnd"/>
      <w:r w:rsidRPr="00592DC6">
        <w:t xml:space="preserve"> </w:t>
      </w:r>
      <w:proofErr w:type="spellStart"/>
      <w:r w:rsidRPr="00592DC6">
        <w:t>circonstances</w:t>
      </w:r>
      <w:proofErr w:type="spellEnd"/>
      <w:r w:rsidRPr="00592DC6">
        <w:t xml:space="preserve"> </w:t>
      </w:r>
      <w:proofErr w:type="spellStart"/>
      <w:r w:rsidRPr="00592DC6">
        <w:t>particulières</w:t>
      </w:r>
      <w:proofErr w:type="spellEnd"/>
      <w:r w:rsidRPr="00592DC6">
        <w:t xml:space="preserve"> de son </w:t>
      </w:r>
      <w:proofErr w:type="spellStart"/>
      <w:r w:rsidRPr="00592DC6">
        <w:t>expérience</w:t>
      </w:r>
      <w:proofErr w:type="spellEnd"/>
      <w:r w:rsidRPr="00592DC6">
        <w:t xml:space="preserve"> </w:t>
      </w:r>
      <w:proofErr w:type="spellStart"/>
      <w:r w:rsidRPr="00592DC6">
        <w:t>bulgare</w:t>
      </w:r>
      <w:proofErr w:type="spellEnd"/>
      <w:r w:rsidRPr="00592DC6">
        <w:t xml:space="preserve"> qui </w:t>
      </w:r>
      <w:proofErr w:type="spellStart"/>
      <w:r w:rsidRPr="00592DC6">
        <w:t>aurait</w:t>
      </w:r>
      <w:proofErr w:type="spellEnd"/>
      <w:r w:rsidRPr="00592DC6">
        <w:t xml:space="preserve"> </w:t>
      </w:r>
      <w:proofErr w:type="spellStart"/>
      <w:r w:rsidRPr="00592DC6">
        <w:t>pu</w:t>
      </w:r>
      <w:proofErr w:type="spellEnd"/>
      <w:r w:rsidRPr="00592DC6">
        <w:t xml:space="preserve"> </w:t>
      </w:r>
      <w:proofErr w:type="spellStart"/>
      <w:r w:rsidRPr="00592DC6">
        <w:t>révéler</w:t>
      </w:r>
      <w:proofErr w:type="spellEnd"/>
      <w:r w:rsidRPr="00592DC6">
        <w:t xml:space="preserve"> aux </w:t>
      </w:r>
      <w:proofErr w:type="spellStart"/>
      <w:r w:rsidRPr="00592DC6">
        <w:t>autorités</w:t>
      </w:r>
      <w:proofErr w:type="spellEnd"/>
      <w:r w:rsidRPr="00592DC6">
        <w:t xml:space="preserve"> </w:t>
      </w:r>
      <w:proofErr w:type="spellStart"/>
      <w:r w:rsidRPr="00592DC6">
        <w:t>hongroises</w:t>
      </w:r>
      <w:proofErr w:type="spellEnd"/>
      <w:r w:rsidRPr="00592DC6">
        <w:t xml:space="preserve"> </w:t>
      </w:r>
      <w:proofErr w:type="spellStart"/>
      <w:r w:rsidRPr="00592DC6">
        <w:t>une</w:t>
      </w:r>
      <w:proofErr w:type="spellEnd"/>
      <w:r w:rsidRPr="00592DC6">
        <w:t xml:space="preserve"> situation de </w:t>
      </w:r>
      <w:proofErr w:type="spellStart"/>
      <w:r w:rsidRPr="00592DC6">
        <w:t>particulière</w:t>
      </w:r>
      <w:proofErr w:type="spellEnd"/>
      <w:r w:rsidRPr="00592DC6">
        <w:t xml:space="preserve"> </w:t>
      </w:r>
      <w:proofErr w:type="spellStart"/>
      <w:r w:rsidRPr="00592DC6">
        <w:t>vulnérabilité</w:t>
      </w:r>
      <w:proofErr w:type="spellEnd"/>
      <w:r w:rsidRPr="00592DC6">
        <w:t xml:space="preserve">. </w:t>
      </w:r>
      <w:proofErr w:type="spellStart"/>
      <w:r w:rsidRPr="00592DC6">
        <w:t>L’Etat</w:t>
      </w:r>
      <w:proofErr w:type="spellEnd"/>
      <w:r w:rsidRPr="00592DC6">
        <w:t xml:space="preserve"> </w:t>
      </w:r>
      <w:proofErr w:type="spellStart"/>
      <w:r w:rsidRPr="00592DC6">
        <w:t>partie</w:t>
      </w:r>
      <w:proofErr w:type="spellEnd"/>
      <w:r w:rsidRPr="00592DC6">
        <w:t xml:space="preserve"> </w:t>
      </w:r>
      <w:proofErr w:type="spellStart"/>
      <w:r w:rsidRPr="00592DC6">
        <w:t>indique</w:t>
      </w:r>
      <w:proofErr w:type="spellEnd"/>
      <w:r w:rsidRPr="00592DC6">
        <w:t xml:space="preserve"> que </w:t>
      </w:r>
      <w:proofErr w:type="spellStart"/>
      <w:r w:rsidRPr="00592DC6">
        <w:t>l’auteur</w:t>
      </w:r>
      <w:proofErr w:type="spellEnd"/>
      <w:r w:rsidRPr="00592DC6">
        <w:t xml:space="preserve"> « </w:t>
      </w:r>
      <w:proofErr w:type="spellStart"/>
      <w:r w:rsidRPr="00592DC6">
        <w:t>lors</w:t>
      </w:r>
      <w:proofErr w:type="spellEnd"/>
      <w:r w:rsidRPr="00592DC6">
        <w:t xml:space="preserve"> de </w:t>
      </w:r>
      <w:proofErr w:type="spellStart"/>
      <w:r w:rsidRPr="00592DC6">
        <w:t>l’entretien</w:t>
      </w:r>
      <w:proofErr w:type="spellEnd"/>
      <w:r w:rsidRPr="00592DC6">
        <w:t xml:space="preserve"> </w:t>
      </w:r>
      <w:proofErr w:type="spellStart"/>
      <w:r w:rsidRPr="00592DC6">
        <w:t>qu’il</w:t>
      </w:r>
      <w:proofErr w:type="spellEnd"/>
      <w:r w:rsidRPr="00592DC6">
        <w:t xml:space="preserve"> a </w:t>
      </w:r>
      <w:proofErr w:type="spellStart"/>
      <w:r w:rsidRPr="00592DC6">
        <w:t>eu</w:t>
      </w:r>
      <w:proofErr w:type="spellEnd"/>
      <w:r w:rsidRPr="00592DC6">
        <w:t xml:space="preserve"> le 28 </w:t>
      </w:r>
      <w:proofErr w:type="spellStart"/>
      <w:r w:rsidRPr="00592DC6">
        <w:t>mai</w:t>
      </w:r>
      <w:proofErr w:type="spellEnd"/>
      <w:r w:rsidRPr="00592DC6">
        <w:t xml:space="preserve"> 2016 </w:t>
      </w:r>
      <w:proofErr w:type="spellStart"/>
      <w:r w:rsidRPr="00592DC6">
        <w:t>dans</w:t>
      </w:r>
      <w:proofErr w:type="spellEnd"/>
      <w:r w:rsidRPr="00592DC6">
        <w:t xml:space="preserve"> le cadre de la </w:t>
      </w:r>
      <w:proofErr w:type="spellStart"/>
      <w:r w:rsidRPr="00592DC6">
        <w:t>procédure</w:t>
      </w:r>
      <w:proofErr w:type="spellEnd"/>
      <w:r w:rsidRPr="00592DC6">
        <w:t xml:space="preserve"> </w:t>
      </w:r>
      <w:proofErr w:type="spellStart"/>
      <w:r w:rsidRPr="00592DC6">
        <w:t>d’asile</w:t>
      </w:r>
      <w:proofErr w:type="spellEnd"/>
      <w:r w:rsidRPr="00592DC6">
        <w:t xml:space="preserve">, </w:t>
      </w:r>
      <w:proofErr w:type="spellStart"/>
      <w:r w:rsidRPr="00592DC6">
        <w:t>n’a</w:t>
      </w:r>
      <w:proofErr w:type="spellEnd"/>
      <w:r w:rsidRPr="00592DC6">
        <w:t xml:space="preserve"> pas </w:t>
      </w:r>
      <w:proofErr w:type="spellStart"/>
      <w:r w:rsidRPr="00592DC6">
        <w:t>dit</w:t>
      </w:r>
      <w:proofErr w:type="spellEnd"/>
      <w:r w:rsidRPr="00592DC6">
        <w:t xml:space="preserve"> </w:t>
      </w:r>
      <w:proofErr w:type="spellStart"/>
      <w:r w:rsidRPr="00592DC6">
        <w:t>avoir</w:t>
      </w:r>
      <w:proofErr w:type="spellEnd"/>
      <w:r w:rsidRPr="00592DC6">
        <w:t xml:space="preserve"> </w:t>
      </w:r>
      <w:proofErr w:type="spellStart"/>
      <w:r w:rsidRPr="00592DC6">
        <w:t>subi</w:t>
      </w:r>
      <w:proofErr w:type="spellEnd"/>
      <w:r w:rsidRPr="00592DC6">
        <w:t xml:space="preserve"> de </w:t>
      </w:r>
      <w:proofErr w:type="spellStart"/>
      <w:r w:rsidRPr="00592DC6">
        <w:t>mauvais</w:t>
      </w:r>
      <w:proofErr w:type="spellEnd"/>
      <w:r w:rsidRPr="00592DC6">
        <w:t xml:space="preserve"> </w:t>
      </w:r>
      <w:proofErr w:type="spellStart"/>
      <w:r w:rsidRPr="00592DC6">
        <w:t>traitements</w:t>
      </w:r>
      <w:proofErr w:type="spellEnd"/>
      <w:r w:rsidRPr="00592DC6">
        <w:t xml:space="preserve"> </w:t>
      </w:r>
      <w:proofErr w:type="spellStart"/>
      <w:r w:rsidRPr="00592DC6">
        <w:t>durant</w:t>
      </w:r>
      <w:proofErr w:type="spellEnd"/>
      <w:r w:rsidRPr="00592DC6">
        <w:t xml:space="preserve"> son </w:t>
      </w:r>
      <w:proofErr w:type="spellStart"/>
      <w:r w:rsidRPr="00592DC6">
        <w:t>séjour</w:t>
      </w:r>
      <w:proofErr w:type="spellEnd"/>
      <w:r w:rsidRPr="00592DC6">
        <w:t xml:space="preserve"> </w:t>
      </w:r>
      <w:proofErr w:type="spellStart"/>
      <w:r w:rsidRPr="00592DC6">
        <w:t>en</w:t>
      </w:r>
      <w:proofErr w:type="spellEnd"/>
      <w:r w:rsidRPr="00592DC6">
        <w:t xml:space="preserve"> </w:t>
      </w:r>
      <w:proofErr w:type="spellStart"/>
      <w:r w:rsidRPr="00592DC6">
        <w:t>Bulgarie</w:t>
      </w:r>
      <w:proofErr w:type="spellEnd"/>
      <w:r w:rsidRPr="00592DC6">
        <w:t xml:space="preserve"> ».  </w:t>
      </w:r>
      <w:proofErr w:type="spellStart"/>
      <w:r w:rsidRPr="00592DC6">
        <w:t>Ensuite</w:t>
      </w:r>
      <w:proofErr w:type="spellEnd"/>
      <w:r w:rsidRPr="00592DC6">
        <w:t xml:space="preserve">, </w:t>
      </w:r>
      <w:proofErr w:type="spellStart"/>
      <w:r w:rsidRPr="00592DC6">
        <w:t>l’auteur</w:t>
      </w:r>
      <w:proofErr w:type="spellEnd"/>
      <w:r w:rsidRPr="00592DC6">
        <w:t xml:space="preserve"> </w:t>
      </w:r>
      <w:proofErr w:type="spellStart"/>
      <w:r w:rsidRPr="00592DC6">
        <w:t>n’a</w:t>
      </w:r>
      <w:proofErr w:type="spellEnd"/>
      <w:r w:rsidRPr="00592DC6">
        <w:t xml:space="preserve"> pas </w:t>
      </w:r>
      <w:proofErr w:type="spellStart"/>
      <w:r w:rsidRPr="00592DC6">
        <w:t>développé</w:t>
      </w:r>
      <w:proofErr w:type="spellEnd"/>
      <w:r w:rsidRPr="00592DC6">
        <w:t xml:space="preserve"> les arguments </w:t>
      </w:r>
      <w:proofErr w:type="spellStart"/>
      <w:r w:rsidRPr="00592DC6">
        <w:t>relatifs</w:t>
      </w:r>
      <w:proofErr w:type="spellEnd"/>
      <w:r w:rsidRPr="00592DC6">
        <w:t xml:space="preserve"> à son </w:t>
      </w:r>
      <w:proofErr w:type="spellStart"/>
      <w:r w:rsidRPr="00592DC6">
        <w:t>état</w:t>
      </w:r>
      <w:proofErr w:type="spellEnd"/>
      <w:r w:rsidRPr="00592DC6">
        <w:t xml:space="preserve"> de santé, </w:t>
      </w:r>
      <w:proofErr w:type="spellStart"/>
      <w:r w:rsidRPr="00592DC6">
        <w:t>alors</w:t>
      </w:r>
      <w:proofErr w:type="spellEnd"/>
      <w:r w:rsidRPr="00592DC6">
        <w:t xml:space="preserve"> </w:t>
      </w:r>
      <w:proofErr w:type="spellStart"/>
      <w:r w:rsidRPr="00592DC6">
        <w:t>même</w:t>
      </w:r>
      <w:proofErr w:type="spellEnd"/>
      <w:r w:rsidRPr="00592DC6">
        <w:t xml:space="preserve"> que des questions précises </w:t>
      </w:r>
      <w:proofErr w:type="spellStart"/>
      <w:r w:rsidRPr="00592DC6">
        <w:t>lui</w:t>
      </w:r>
      <w:proofErr w:type="spellEnd"/>
      <w:r w:rsidRPr="00592DC6">
        <w:t xml:space="preserve"> </w:t>
      </w:r>
      <w:proofErr w:type="spellStart"/>
      <w:r w:rsidRPr="00592DC6">
        <w:t>ont</w:t>
      </w:r>
      <w:proofErr w:type="spellEnd"/>
      <w:r w:rsidRPr="00592DC6">
        <w:t xml:space="preserve"> </w:t>
      </w:r>
      <w:proofErr w:type="spellStart"/>
      <w:r w:rsidRPr="00592DC6">
        <w:t>été</w:t>
      </w:r>
      <w:proofErr w:type="spellEnd"/>
      <w:r w:rsidRPr="00592DC6">
        <w:t xml:space="preserve"> </w:t>
      </w:r>
      <w:proofErr w:type="spellStart"/>
      <w:r w:rsidRPr="00592DC6">
        <w:t>posées</w:t>
      </w:r>
      <w:proofErr w:type="spellEnd"/>
      <w:r w:rsidRPr="00592DC6">
        <w:t xml:space="preserve"> à </w:t>
      </w:r>
      <w:proofErr w:type="spellStart"/>
      <w:proofErr w:type="gramStart"/>
      <w:r w:rsidRPr="00592DC6">
        <w:t>ce</w:t>
      </w:r>
      <w:proofErr w:type="spellEnd"/>
      <w:proofErr w:type="gramEnd"/>
      <w:r w:rsidRPr="00592DC6">
        <w:t xml:space="preserve"> propos par les </w:t>
      </w:r>
      <w:proofErr w:type="spellStart"/>
      <w:r w:rsidRPr="00592DC6">
        <w:t>autorités</w:t>
      </w:r>
      <w:proofErr w:type="spellEnd"/>
      <w:r w:rsidRPr="00592DC6">
        <w:t xml:space="preserve"> </w:t>
      </w:r>
      <w:proofErr w:type="spellStart"/>
      <w:r w:rsidRPr="00592DC6">
        <w:t>hongroises</w:t>
      </w:r>
      <w:proofErr w:type="spellEnd"/>
      <w:r w:rsidRPr="00592DC6">
        <w:t xml:space="preserve">. </w:t>
      </w:r>
      <w:proofErr w:type="spellStart"/>
      <w:r w:rsidRPr="00592DC6">
        <w:t>L’État</w:t>
      </w:r>
      <w:proofErr w:type="spellEnd"/>
      <w:r w:rsidRPr="00592DC6">
        <w:t xml:space="preserve"> </w:t>
      </w:r>
      <w:proofErr w:type="spellStart"/>
      <w:r w:rsidRPr="00592DC6">
        <w:t>partie</w:t>
      </w:r>
      <w:proofErr w:type="spellEnd"/>
      <w:r w:rsidRPr="00592DC6">
        <w:t xml:space="preserve"> </w:t>
      </w:r>
      <w:proofErr w:type="spellStart"/>
      <w:r w:rsidRPr="00592DC6">
        <w:t>relève</w:t>
      </w:r>
      <w:proofErr w:type="spellEnd"/>
      <w:r w:rsidRPr="00592DC6">
        <w:t xml:space="preserve"> que </w:t>
      </w:r>
      <w:proofErr w:type="spellStart"/>
      <w:r w:rsidRPr="00592DC6">
        <w:t>l’auteur</w:t>
      </w:r>
      <w:proofErr w:type="spellEnd"/>
      <w:r w:rsidRPr="00592DC6">
        <w:t xml:space="preserve"> ne </w:t>
      </w:r>
      <w:proofErr w:type="spellStart"/>
      <w:r w:rsidRPr="00592DC6">
        <w:t>s’est</w:t>
      </w:r>
      <w:proofErr w:type="spellEnd"/>
      <w:r w:rsidRPr="00592DC6">
        <w:t xml:space="preserve"> pas plaint de </w:t>
      </w:r>
      <w:proofErr w:type="spellStart"/>
      <w:r w:rsidRPr="00592DC6">
        <w:t>problème</w:t>
      </w:r>
      <w:proofErr w:type="spellEnd"/>
      <w:r w:rsidRPr="00592DC6">
        <w:t xml:space="preserve"> de santé, </w:t>
      </w:r>
      <w:proofErr w:type="spellStart"/>
      <w:r w:rsidRPr="00592DC6">
        <w:t>mentale</w:t>
      </w:r>
      <w:proofErr w:type="spellEnd"/>
      <w:r w:rsidRPr="00592DC6">
        <w:t xml:space="preserve"> </w:t>
      </w:r>
      <w:proofErr w:type="spellStart"/>
      <w:r w:rsidRPr="00592DC6">
        <w:t>ou</w:t>
      </w:r>
      <w:proofErr w:type="spellEnd"/>
      <w:r w:rsidRPr="00592DC6">
        <w:t xml:space="preserve"> </w:t>
      </w:r>
      <w:proofErr w:type="spellStart"/>
      <w:r w:rsidRPr="00592DC6">
        <w:t>autre</w:t>
      </w:r>
      <w:proofErr w:type="spellEnd"/>
      <w:r w:rsidRPr="00592DC6">
        <w:t xml:space="preserve">, au </w:t>
      </w:r>
      <w:proofErr w:type="spellStart"/>
      <w:r w:rsidRPr="00592DC6">
        <w:t>stade</w:t>
      </w:r>
      <w:proofErr w:type="spellEnd"/>
      <w:r w:rsidRPr="00592DC6">
        <w:t xml:space="preserve"> de </w:t>
      </w:r>
      <w:proofErr w:type="spellStart"/>
      <w:r w:rsidRPr="00592DC6">
        <w:t>l’appel</w:t>
      </w:r>
      <w:proofErr w:type="spellEnd"/>
      <w:r w:rsidRPr="00592DC6">
        <w:t xml:space="preserve">, et que le </w:t>
      </w:r>
      <w:proofErr w:type="spellStart"/>
      <w:r w:rsidRPr="00592DC6">
        <w:t>certificat</w:t>
      </w:r>
      <w:proofErr w:type="spellEnd"/>
      <w:r w:rsidRPr="00592DC6">
        <w:t xml:space="preserve"> </w:t>
      </w:r>
      <w:proofErr w:type="spellStart"/>
      <w:r w:rsidRPr="00592DC6">
        <w:t>psychiatrique</w:t>
      </w:r>
      <w:proofErr w:type="spellEnd"/>
      <w:r w:rsidRPr="00592DC6">
        <w:t xml:space="preserve"> </w:t>
      </w:r>
      <w:proofErr w:type="spellStart"/>
      <w:r w:rsidRPr="00592DC6">
        <w:t>diagnostiquant</w:t>
      </w:r>
      <w:proofErr w:type="spellEnd"/>
      <w:r w:rsidRPr="00592DC6">
        <w:t xml:space="preserve"> un </w:t>
      </w:r>
      <w:proofErr w:type="spellStart"/>
      <w:r w:rsidRPr="00592DC6">
        <w:t>état</w:t>
      </w:r>
      <w:proofErr w:type="spellEnd"/>
      <w:r w:rsidRPr="00592DC6">
        <w:t xml:space="preserve"> de stress post-</w:t>
      </w:r>
      <w:proofErr w:type="spellStart"/>
      <w:r w:rsidRPr="00592DC6">
        <w:t>traumatique</w:t>
      </w:r>
      <w:proofErr w:type="spellEnd"/>
      <w:r w:rsidRPr="00592DC6">
        <w:t xml:space="preserve"> </w:t>
      </w:r>
      <w:proofErr w:type="spellStart"/>
      <w:r w:rsidRPr="00592DC6">
        <w:t>émis</w:t>
      </w:r>
      <w:proofErr w:type="spellEnd"/>
      <w:r w:rsidRPr="00592DC6">
        <w:t xml:space="preserve"> </w:t>
      </w:r>
      <w:proofErr w:type="spellStart"/>
      <w:r w:rsidRPr="00592DC6">
        <w:t>par</w:t>
      </w:r>
      <w:proofErr w:type="spellEnd"/>
      <w:r w:rsidRPr="00592DC6">
        <w:t xml:space="preserve"> la </w:t>
      </w:r>
      <w:proofErr w:type="spellStart"/>
      <w:r w:rsidRPr="00592DC6">
        <w:t>Fondation</w:t>
      </w:r>
      <w:proofErr w:type="spellEnd"/>
      <w:r w:rsidRPr="00592DC6">
        <w:t xml:space="preserve"> Cordelia ne date que du 11 </w:t>
      </w:r>
      <w:proofErr w:type="spellStart"/>
      <w:r w:rsidRPr="00592DC6">
        <w:t>novembre</w:t>
      </w:r>
      <w:proofErr w:type="spellEnd"/>
      <w:r w:rsidRPr="00592DC6">
        <w:t xml:space="preserve"> 2016, </w:t>
      </w:r>
      <w:proofErr w:type="spellStart"/>
      <w:r w:rsidRPr="00592DC6">
        <w:t>c’est</w:t>
      </w:r>
      <w:proofErr w:type="spellEnd"/>
      <w:r w:rsidRPr="00592DC6">
        <w:t xml:space="preserve">-à-dire </w:t>
      </w:r>
      <w:proofErr w:type="spellStart"/>
      <w:r w:rsidRPr="00592DC6">
        <w:t>qu’il</w:t>
      </w:r>
      <w:proofErr w:type="spellEnd"/>
      <w:r w:rsidRPr="00592DC6">
        <w:t xml:space="preserve"> </w:t>
      </w:r>
      <w:proofErr w:type="spellStart"/>
      <w:r w:rsidRPr="00592DC6">
        <w:t>est</w:t>
      </w:r>
      <w:proofErr w:type="spellEnd"/>
      <w:r w:rsidRPr="00592DC6">
        <w:t xml:space="preserve"> </w:t>
      </w:r>
      <w:proofErr w:type="spellStart"/>
      <w:r w:rsidRPr="00592DC6">
        <w:t>postérieur</w:t>
      </w:r>
      <w:proofErr w:type="spellEnd"/>
      <w:r w:rsidRPr="00592DC6">
        <w:t xml:space="preserve"> à </w:t>
      </w:r>
      <w:proofErr w:type="spellStart"/>
      <w:r w:rsidRPr="00592DC6">
        <w:t>l’adoption</w:t>
      </w:r>
      <w:proofErr w:type="spellEnd"/>
      <w:r w:rsidRPr="00592DC6">
        <w:t xml:space="preserve"> par le tribunal </w:t>
      </w:r>
      <w:proofErr w:type="spellStart"/>
      <w:r w:rsidRPr="00592DC6">
        <w:t>métropolitain</w:t>
      </w:r>
      <w:proofErr w:type="spellEnd"/>
      <w:r w:rsidRPr="00592DC6">
        <w:t>, le 17 </w:t>
      </w:r>
      <w:proofErr w:type="spellStart"/>
      <w:r w:rsidRPr="00592DC6">
        <w:t>octobre</w:t>
      </w:r>
      <w:proofErr w:type="spellEnd"/>
      <w:r w:rsidRPr="00592DC6">
        <w:t xml:space="preserve"> 2016, de la </w:t>
      </w:r>
      <w:proofErr w:type="spellStart"/>
      <w:r w:rsidRPr="00592DC6">
        <w:t>décision</w:t>
      </w:r>
      <w:proofErr w:type="spellEnd"/>
      <w:r w:rsidRPr="00592DC6">
        <w:t xml:space="preserve"> </w:t>
      </w:r>
      <w:proofErr w:type="spellStart"/>
      <w:r w:rsidRPr="00592DC6">
        <w:t>juridiquement</w:t>
      </w:r>
      <w:proofErr w:type="spellEnd"/>
      <w:r w:rsidRPr="00592DC6">
        <w:t xml:space="preserve"> </w:t>
      </w:r>
      <w:proofErr w:type="spellStart"/>
      <w:r w:rsidRPr="00592DC6">
        <w:t>contraignante</w:t>
      </w:r>
      <w:proofErr w:type="spellEnd"/>
      <w:r w:rsidRPr="00592DC6">
        <w:t xml:space="preserve">. </w:t>
      </w:r>
      <w:proofErr w:type="spellStart"/>
      <w:r w:rsidRPr="00592DC6">
        <w:t>Enfin</w:t>
      </w:r>
      <w:proofErr w:type="spellEnd"/>
      <w:r w:rsidRPr="00592DC6">
        <w:t xml:space="preserve">, sur le plan des arguments de droit, </w:t>
      </w:r>
      <w:proofErr w:type="spellStart"/>
      <w:r w:rsidRPr="00592DC6">
        <w:t>l’auteur</w:t>
      </w:r>
      <w:proofErr w:type="spellEnd"/>
      <w:r w:rsidRPr="00592DC6">
        <w:t xml:space="preserve"> </w:t>
      </w:r>
      <w:proofErr w:type="spellStart"/>
      <w:r w:rsidRPr="00592DC6">
        <w:t>n’a</w:t>
      </w:r>
      <w:proofErr w:type="spellEnd"/>
      <w:r w:rsidRPr="00592DC6">
        <w:t xml:space="preserve"> pas </w:t>
      </w:r>
      <w:proofErr w:type="spellStart"/>
      <w:r w:rsidRPr="00592DC6">
        <w:t>développé</w:t>
      </w:r>
      <w:proofErr w:type="spellEnd"/>
      <w:r w:rsidRPr="00592DC6">
        <w:t xml:space="preserve"> les arguments </w:t>
      </w:r>
      <w:proofErr w:type="spellStart"/>
      <w:r w:rsidRPr="00592DC6">
        <w:t>relatifs</w:t>
      </w:r>
      <w:proofErr w:type="spellEnd"/>
      <w:r w:rsidRPr="00592DC6">
        <w:t xml:space="preserve"> à </w:t>
      </w:r>
      <w:proofErr w:type="spellStart"/>
      <w:r w:rsidRPr="00592DC6">
        <w:t>l’éventuelle</w:t>
      </w:r>
      <w:proofErr w:type="spellEnd"/>
      <w:r w:rsidRPr="00592DC6">
        <w:t xml:space="preserve"> violation par </w:t>
      </w:r>
      <w:proofErr w:type="spellStart"/>
      <w:r w:rsidRPr="00592DC6">
        <w:t>l’État</w:t>
      </w:r>
      <w:proofErr w:type="spellEnd"/>
      <w:r w:rsidRPr="00592DC6">
        <w:t xml:space="preserve"> </w:t>
      </w:r>
      <w:proofErr w:type="spellStart"/>
      <w:r w:rsidRPr="00592DC6">
        <w:t>partie</w:t>
      </w:r>
      <w:proofErr w:type="spellEnd"/>
      <w:r w:rsidRPr="00592DC6">
        <w:t xml:space="preserve"> de </w:t>
      </w:r>
      <w:proofErr w:type="spellStart"/>
      <w:r w:rsidRPr="00592DC6">
        <w:t>l’article</w:t>
      </w:r>
      <w:proofErr w:type="spellEnd"/>
      <w:r w:rsidRPr="00592DC6">
        <w:t xml:space="preserve"> 7, </w:t>
      </w:r>
      <w:proofErr w:type="spellStart"/>
      <w:r w:rsidRPr="00592DC6">
        <w:t>lu</w:t>
      </w:r>
      <w:proofErr w:type="spellEnd"/>
      <w:r w:rsidRPr="00592DC6">
        <w:t xml:space="preserve"> </w:t>
      </w:r>
      <w:proofErr w:type="spellStart"/>
      <w:r w:rsidRPr="00592DC6">
        <w:t>seul</w:t>
      </w:r>
      <w:proofErr w:type="spellEnd"/>
      <w:r w:rsidRPr="00592DC6">
        <w:t xml:space="preserve"> </w:t>
      </w:r>
      <w:proofErr w:type="spellStart"/>
      <w:r w:rsidRPr="00592DC6">
        <w:t>ou</w:t>
      </w:r>
      <w:proofErr w:type="spellEnd"/>
      <w:r w:rsidRPr="00592DC6">
        <w:t xml:space="preserve"> </w:t>
      </w:r>
      <w:proofErr w:type="spellStart"/>
      <w:r w:rsidRPr="00592DC6">
        <w:t>conjointement</w:t>
      </w:r>
      <w:proofErr w:type="spellEnd"/>
      <w:r w:rsidRPr="00592DC6">
        <w:t xml:space="preserve"> avec </w:t>
      </w:r>
      <w:proofErr w:type="spellStart"/>
      <w:r w:rsidRPr="00592DC6">
        <w:t>l’article</w:t>
      </w:r>
      <w:proofErr w:type="spellEnd"/>
      <w:r w:rsidRPr="00592DC6">
        <w:t xml:space="preserve"> 2 </w:t>
      </w:r>
      <w:proofErr w:type="spellStart"/>
      <w:r w:rsidRPr="00592DC6">
        <w:t>paragraphe</w:t>
      </w:r>
      <w:proofErr w:type="spellEnd"/>
      <w:r w:rsidRPr="00592DC6">
        <w:t xml:space="preserve"> 3 du </w:t>
      </w:r>
      <w:proofErr w:type="spellStart"/>
      <w:r w:rsidRPr="00592DC6">
        <w:t>pacte</w:t>
      </w:r>
      <w:proofErr w:type="spellEnd"/>
      <w:r w:rsidRPr="00592DC6">
        <w:t xml:space="preserve">, au </w:t>
      </w:r>
      <w:proofErr w:type="spellStart"/>
      <w:r w:rsidRPr="00592DC6">
        <w:t>cas</w:t>
      </w:r>
      <w:proofErr w:type="spellEnd"/>
      <w:r w:rsidRPr="00592DC6">
        <w:t xml:space="preserve"> </w:t>
      </w:r>
      <w:proofErr w:type="spellStart"/>
      <w:r w:rsidRPr="00592DC6">
        <w:t>où</w:t>
      </w:r>
      <w:proofErr w:type="spellEnd"/>
      <w:r w:rsidRPr="00592DC6">
        <w:t xml:space="preserve"> </w:t>
      </w:r>
      <w:proofErr w:type="spellStart"/>
      <w:r w:rsidRPr="00592DC6">
        <w:t>il</w:t>
      </w:r>
      <w:proofErr w:type="spellEnd"/>
      <w:r w:rsidRPr="00592DC6">
        <w:t xml:space="preserve"> </w:t>
      </w:r>
      <w:proofErr w:type="spellStart"/>
      <w:r w:rsidRPr="00592DC6">
        <w:t>serait</w:t>
      </w:r>
      <w:proofErr w:type="spellEnd"/>
      <w:r w:rsidRPr="00592DC6">
        <w:t xml:space="preserve"> </w:t>
      </w:r>
      <w:proofErr w:type="spellStart"/>
      <w:r w:rsidRPr="00592DC6">
        <w:t>renvoyé</w:t>
      </w:r>
      <w:proofErr w:type="spellEnd"/>
      <w:r w:rsidRPr="00592DC6">
        <w:t xml:space="preserve"> </w:t>
      </w:r>
      <w:proofErr w:type="spellStart"/>
      <w:r w:rsidRPr="00592DC6">
        <w:t>en</w:t>
      </w:r>
      <w:proofErr w:type="spellEnd"/>
      <w:r w:rsidRPr="00592DC6">
        <w:t xml:space="preserve"> </w:t>
      </w:r>
      <w:proofErr w:type="spellStart"/>
      <w:r w:rsidRPr="00592DC6">
        <w:t>Bulgarie</w:t>
      </w:r>
      <w:proofErr w:type="spellEnd"/>
      <w:r w:rsidRPr="00592DC6">
        <w:t xml:space="preserve">. </w:t>
      </w:r>
      <w:proofErr w:type="spellStart"/>
      <w:r w:rsidRPr="00592DC6">
        <w:t>L’État</w:t>
      </w:r>
      <w:proofErr w:type="spellEnd"/>
      <w:r w:rsidRPr="00592DC6">
        <w:t xml:space="preserve"> </w:t>
      </w:r>
      <w:proofErr w:type="spellStart"/>
      <w:r w:rsidRPr="00592DC6">
        <w:t>partie</w:t>
      </w:r>
      <w:proofErr w:type="spellEnd"/>
      <w:r w:rsidRPr="00592DC6">
        <w:t xml:space="preserve"> </w:t>
      </w:r>
      <w:proofErr w:type="spellStart"/>
      <w:r w:rsidRPr="00592DC6">
        <w:t>dit</w:t>
      </w:r>
      <w:proofErr w:type="spellEnd"/>
      <w:r w:rsidRPr="00592DC6">
        <w:t xml:space="preserve"> que </w:t>
      </w:r>
      <w:proofErr w:type="spellStart"/>
      <w:r w:rsidRPr="00592DC6">
        <w:t>l’auteur</w:t>
      </w:r>
      <w:proofErr w:type="spellEnd"/>
      <w:r w:rsidRPr="00592DC6">
        <w:t xml:space="preserve"> </w:t>
      </w:r>
      <w:proofErr w:type="spellStart"/>
      <w:r w:rsidRPr="00592DC6">
        <w:t>n’a</w:t>
      </w:r>
      <w:proofErr w:type="spellEnd"/>
      <w:r w:rsidRPr="00592DC6">
        <w:t xml:space="preserve"> pas </w:t>
      </w:r>
      <w:proofErr w:type="spellStart"/>
      <w:r w:rsidRPr="00592DC6">
        <w:t>évoqué</w:t>
      </w:r>
      <w:proofErr w:type="spellEnd"/>
      <w:r w:rsidRPr="00592DC6">
        <w:t xml:space="preserve">, </w:t>
      </w:r>
      <w:proofErr w:type="spellStart"/>
      <w:r w:rsidRPr="00592DC6">
        <w:t>dans</w:t>
      </w:r>
      <w:proofErr w:type="spellEnd"/>
      <w:r w:rsidRPr="00592DC6">
        <w:t xml:space="preserve"> le cadre de la </w:t>
      </w:r>
      <w:proofErr w:type="spellStart"/>
      <w:r w:rsidRPr="00592DC6">
        <w:t>procédure</w:t>
      </w:r>
      <w:proofErr w:type="spellEnd"/>
      <w:r w:rsidRPr="00592DC6">
        <w:t xml:space="preserve"> </w:t>
      </w:r>
      <w:proofErr w:type="spellStart"/>
      <w:r w:rsidRPr="00592DC6">
        <w:t>d’asile</w:t>
      </w:r>
      <w:proofErr w:type="spellEnd"/>
      <w:r w:rsidRPr="00592DC6">
        <w:t xml:space="preserve">, la violation de </w:t>
      </w:r>
      <w:proofErr w:type="spellStart"/>
      <w:proofErr w:type="gramStart"/>
      <w:r w:rsidRPr="00592DC6">
        <w:t>ses</w:t>
      </w:r>
      <w:proofErr w:type="spellEnd"/>
      <w:proofErr w:type="gramEnd"/>
      <w:r w:rsidRPr="00592DC6">
        <w:t xml:space="preserve"> droits </w:t>
      </w:r>
      <w:proofErr w:type="spellStart"/>
      <w:r w:rsidRPr="00592DC6">
        <w:t>qu’il</w:t>
      </w:r>
      <w:proofErr w:type="spellEnd"/>
      <w:r w:rsidRPr="00592DC6">
        <w:t xml:space="preserve"> </w:t>
      </w:r>
      <w:proofErr w:type="spellStart"/>
      <w:r w:rsidRPr="00592DC6">
        <w:t>invoque</w:t>
      </w:r>
      <w:proofErr w:type="spellEnd"/>
      <w:r w:rsidRPr="00592DC6">
        <w:t xml:space="preserve"> </w:t>
      </w:r>
      <w:proofErr w:type="spellStart"/>
      <w:r w:rsidRPr="00592DC6">
        <w:t>dans</w:t>
      </w:r>
      <w:proofErr w:type="spellEnd"/>
      <w:r w:rsidRPr="00592DC6">
        <w:t xml:space="preserve"> la </w:t>
      </w:r>
      <w:proofErr w:type="spellStart"/>
      <w:r w:rsidRPr="00592DC6">
        <w:t>présente</w:t>
      </w:r>
      <w:proofErr w:type="spellEnd"/>
      <w:r w:rsidRPr="00592DC6">
        <w:t xml:space="preserve"> communication. </w:t>
      </w:r>
      <w:proofErr w:type="spellStart"/>
      <w:r w:rsidRPr="00592DC6">
        <w:t>L’auteur</w:t>
      </w:r>
      <w:proofErr w:type="spellEnd"/>
      <w:r w:rsidRPr="00592DC6">
        <w:t xml:space="preserve"> </w:t>
      </w:r>
      <w:proofErr w:type="spellStart"/>
      <w:r w:rsidRPr="00592DC6">
        <w:t>n’ayant</w:t>
      </w:r>
      <w:proofErr w:type="spellEnd"/>
      <w:r w:rsidRPr="00592DC6">
        <w:t xml:space="preserve"> pas </w:t>
      </w:r>
      <w:proofErr w:type="spellStart"/>
      <w:r w:rsidRPr="00592DC6">
        <w:t>réfuté</w:t>
      </w:r>
      <w:proofErr w:type="spellEnd"/>
      <w:r w:rsidRPr="00592DC6">
        <w:t xml:space="preserve"> </w:t>
      </w:r>
      <w:proofErr w:type="spellStart"/>
      <w:r w:rsidRPr="00592DC6">
        <w:t>ces</w:t>
      </w:r>
      <w:proofErr w:type="spellEnd"/>
      <w:r w:rsidRPr="00592DC6">
        <w:t xml:space="preserve"> </w:t>
      </w:r>
      <w:proofErr w:type="spellStart"/>
      <w:r w:rsidRPr="00592DC6">
        <w:t>prétentions</w:t>
      </w:r>
      <w:proofErr w:type="spellEnd"/>
      <w:r w:rsidRPr="00592DC6">
        <w:t xml:space="preserve"> de </w:t>
      </w:r>
      <w:proofErr w:type="spellStart"/>
      <w:r w:rsidRPr="00592DC6">
        <w:t>l’Etat</w:t>
      </w:r>
      <w:proofErr w:type="spellEnd"/>
      <w:r w:rsidRPr="00592DC6">
        <w:t xml:space="preserve"> </w:t>
      </w:r>
      <w:proofErr w:type="spellStart"/>
      <w:r w:rsidRPr="00592DC6">
        <w:t>partie</w:t>
      </w:r>
      <w:proofErr w:type="spellEnd"/>
      <w:r w:rsidRPr="00592DC6">
        <w:t xml:space="preserve">, </w:t>
      </w:r>
      <w:proofErr w:type="spellStart"/>
      <w:proofErr w:type="gramStart"/>
      <w:r w:rsidRPr="00592DC6">
        <w:t>il</w:t>
      </w:r>
      <w:proofErr w:type="spellEnd"/>
      <w:proofErr w:type="gramEnd"/>
      <w:r w:rsidRPr="00592DC6">
        <w:t xml:space="preserve"> </w:t>
      </w:r>
      <w:proofErr w:type="spellStart"/>
      <w:r w:rsidRPr="00592DC6">
        <w:t>en</w:t>
      </w:r>
      <w:proofErr w:type="spellEnd"/>
      <w:r w:rsidRPr="00592DC6">
        <w:t xml:space="preserve"> </w:t>
      </w:r>
      <w:proofErr w:type="spellStart"/>
      <w:r w:rsidRPr="00592DC6">
        <w:t>ressort</w:t>
      </w:r>
      <w:proofErr w:type="spellEnd"/>
      <w:r w:rsidRPr="00592DC6">
        <w:t xml:space="preserve"> que </w:t>
      </w:r>
      <w:proofErr w:type="spellStart"/>
      <w:r w:rsidRPr="00592DC6">
        <w:t>l’article</w:t>
      </w:r>
      <w:proofErr w:type="spellEnd"/>
      <w:r w:rsidRPr="00592DC6">
        <w:t xml:space="preserve"> 5 (2) (b) du </w:t>
      </w:r>
      <w:proofErr w:type="spellStart"/>
      <w:r w:rsidRPr="00592DC6">
        <w:t>protocole</w:t>
      </w:r>
      <w:proofErr w:type="spellEnd"/>
      <w:r w:rsidRPr="00592DC6">
        <w:t xml:space="preserve"> </w:t>
      </w:r>
      <w:proofErr w:type="spellStart"/>
      <w:r w:rsidRPr="00592DC6">
        <w:t>facultatif</w:t>
      </w:r>
      <w:proofErr w:type="spellEnd"/>
      <w:r w:rsidRPr="00592DC6">
        <w:t xml:space="preserve"> </w:t>
      </w:r>
      <w:proofErr w:type="spellStart"/>
      <w:r w:rsidRPr="00592DC6">
        <w:t>n’a</w:t>
      </w:r>
      <w:proofErr w:type="spellEnd"/>
      <w:r w:rsidRPr="00592DC6">
        <w:t xml:space="preserve"> pas </w:t>
      </w:r>
      <w:proofErr w:type="spellStart"/>
      <w:r w:rsidRPr="00592DC6">
        <w:t>été</w:t>
      </w:r>
      <w:proofErr w:type="spellEnd"/>
      <w:r w:rsidRPr="00592DC6">
        <w:t xml:space="preserve"> </w:t>
      </w:r>
      <w:proofErr w:type="spellStart"/>
      <w:r w:rsidRPr="00592DC6">
        <w:t>respecté</w:t>
      </w:r>
      <w:proofErr w:type="spellEnd"/>
      <w:r w:rsidRPr="00592DC6">
        <w:t>.</w:t>
      </w:r>
    </w:p>
    <w:p w14:paraId="47BFFAC8" w14:textId="77777777" w:rsidR="003C3E47" w:rsidRPr="00795260" w:rsidRDefault="003C3E47" w:rsidP="003C3E47">
      <w:pPr>
        <w:pStyle w:val="SingleTxtG"/>
        <w:rPr>
          <w:rFonts w:asciiTheme="majorBidi" w:eastAsia="Times New Roman" w:hAnsiTheme="majorBidi" w:cstheme="majorBidi"/>
        </w:rPr>
      </w:pPr>
      <w:r>
        <w:t>4.</w:t>
      </w:r>
      <w:r>
        <w:tab/>
      </w:r>
      <w:r w:rsidRPr="00592DC6">
        <w:t xml:space="preserve">Par </w:t>
      </w:r>
      <w:proofErr w:type="spellStart"/>
      <w:r w:rsidRPr="00592DC6">
        <w:t>voie</w:t>
      </w:r>
      <w:proofErr w:type="spellEnd"/>
      <w:r w:rsidRPr="00592DC6">
        <w:t xml:space="preserve"> de </w:t>
      </w:r>
      <w:proofErr w:type="spellStart"/>
      <w:r w:rsidRPr="00592DC6">
        <w:t>conséquence</w:t>
      </w:r>
      <w:proofErr w:type="spellEnd"/>
      <w:r w:rsidRPr="00592DC6">
        <w:t xml:space="preserve">, </w:t>
      </w:r>
      <w:proofErr w:type="spellStart"/>
      <w:r w:rsidRPr="00592DC6">
        <w:t>comme</w:t>
      </w:r>
      <w:proofErr w:type="spellEnd"/>
      <w:r w:rsidRPr="00592DC6">
        <w:t xml:space="preserve"> le </w:t>
      </w:r>
      <w:proofErr w:type="spellStart"/>
      <w:r w:rsidRPr="00592DC6">
        <w:t>soutient</w:t>
      </w:r>
      <w:proofErr w:type="spellEnd"/>
      <w:r w:rsidRPr="00592DC6">
        <w:t xml:space="preserve"> </w:t>
      </w:r>
      <w:proofErr w:type="spellStart"/>
      <w:r w:rsidRPr="00592DC6">
        <w:t>l’État</w:t>
      </w:r>
      <w:proofErr w:type="spellEnd"/>
      <w:r w:rsidRPr="00592DC6">
        <w:t xml:space="preserve"> </w:t>
      </w:r>
      <w:proofErr w:type="spellStart"/>
      <w:r w:rsidRPr="00592DC6">
        <w:t>partie</w:t>
      </w:r>
      <w:proofErr w:type="spellEnd"/>
      <w:r w:rsidRPr="00592DC6">
        <w:t xml:space="preserve">, la communication </w:t>
      </w:r>
      <w:proofErr w:type="spellStart"/>
      <w:r w:rsidRPr="00592DC6">
        <w:t>présentée</w:t>
      </w:r>
      <w:proofErr w:type="spellEnd"/>
      <w:r w:rsidRPr="00592DC6">
        <w:t xml:space="preserve"> </w:t>
      </w:r>
      <w:proofErr w:type="spellStart"/>
      <w:r w:rsidRPr="00592DC6">
        <w:t>devant</w:t>
      </w:r>
      <w:proofErr w:type="spellEnd"/>
      <w:r w:rsidRPr="00592DC6">
        <w:t xml:space="preserve"> le </w:t>
      </w:r>
      <w:proofErr w:type="spellStart"/>
      <w:r w:rsidRPr="00592DC6">
        <w:t>comité</w:t>
      </w:r>
      <w:proofErr w:type="spellEnd"/>
      <w:r w:rsidRPr="00592DC6">
        <w:t xml:space="preserve"> </w:t>
      </w:r>
      <w:proofErr w:type="spellStart"/>
      <w:r w:rsidRPr="00592DC6">
        <w:t>dans</w:t>
      </w:r>
      <w:proofErr w:type="spellEnd"/>
      <w:r w:rsidRPr="00592DC6">
        <w:t xml:space="preserve"> </w:t>
      </w:r>
      <w:proofErr w:type="spellStart"/>
      <w:r w:rsidRPr="00592DC6">
        <w:t>cette</w:t>
      </w:r>
      <w:proofErr w:type="spellEnd"/>
      <w:r w:rsidRPr="00592DC6">
        <w:t xml:space="preserve"> affaire </w:t>
      </w:r>
      <w:proofErr w:type="spellStart"/>
      <w:r w:rsidRPr="00592DC6">
        <w:t>aurait</w:t>
      </w:r>
      <w:proofErr w:type="spellEnd"/>
      <w:r w:rsidRPr="00592DC6">
        <w:t xml:space="preserve"> </w:t>
      </w:r>
      <w:proofErr w:type="spellStart"/>
      <w:r w:rsidRPr="00592DC6">
        <w:t>dû</w:t>
      </w:r>
      <w:proofErr w:type="spellEnd"/>
      <w:r w:rsidRPr="00592DC6">
        <w:t xml:space="preserve"> </w:t>
      </w:r>
      <w:proofErr w:type="spellStart"/>
      <w:r w:rsidRPr="00592DC6">
        <w:t>être</w:t>
      </w:r>
      <w:proofErr w:type="spellEnd"/>
      <w:r w:rsidRPr="00592DC6">
        <w:t xml:space="preserve"> </w:t>
      </w:r>
      <w:proofErr w:type="spellStart"/>
      <w:r w:rsidRPr="00592DC6">
        <w:t>déclarée</w:t>
      </w:r>
      <w:proofErr w:type="spellEnd"/>
      <w:r w:rsidRPr="00592DC6">
        <w:t xml:space="preserve"> </w:t>
      </w:r>
      <w:proofErr w:type="spellStart"/>
      <w:r w:rsidRPr="00592DC6">
        <w:t>irrecevable</w:t>
      </w:r>
      <w:proofErr w:type="spellEnd"/>
      <w:r w:rsidRPr="00592DC6">
        <w:t>.</w:t>
      </w:r>
    </w:p>
    <w:p w14:paraId="7BE178DE" w14:textId="77777777" w:rsidR="00607740" w:rsidRDefault="00607740" w:rsidP="00924A5B">
      <w:pPr>
        <w:pStyle w:val="SingleTxtG"/>
      </w:pPr>
    </w:p>
    <w:p w14:paraId="4CDEA9A2" w14:textId="5BA3924C" w:rsidR="0025455E" w:rsidRPr="009704FD" w:rsidRDefault="009704FD" w:rsidP="009704FD">
      <w:pPr>
        <w:spacing w:before="240"/>
        <w:ind w:left="1134" w:right="1134"/>
        <w:jc w:val="center"/>
        <w:rPr>
          <w:u w:val="single"/>
        </w:rPr>
      </w:pPr>
      <w:r>
        <w:tab/>
      </w:r>
      <w:r>
        <w:rPr>
          <w:u w:val="single"/>
        </w:rPr>
        <w:tab/>
      </w:r>
      <w:r>
        <w:rPr>
          <w:u w:val="single"/>
        </w:rPr>
        <w:tab/>
      </w:r>
      <w:r>
        <w:rPr>
          <w:u w:val="single"/>
        </w:rPr>
        <w:tab/>
      </w:r>
    </w:p>
    <w:sectPr w:rsidR="0025455E" w:rsidRPr="009704FD" w:rsidSect="00156941">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125EC" w16cid:durableId="1DE4EA7D"/>
  <w16cid:commentId w16cid:paraId="24FE37A5" w16cid:durableId="1DDF8D37"/>
  <w16cid:commentId w16cid:paraId="2C4D0313" w16cid:durableId="1DE4ED30"/>
  <w16cid:commentId w16cid:paraId="2B3DC0EC" w16cid:durableId="1DE4EE9F"/>
  <w16cid:commentId w16cid:paraId="470E1020" w16cid:durableId="1DE0DC6F"/>
  <w16cid:commentId w16cid:paraId="12C8A5D2" w16cid:durableId="1DE0E087"/>
  <w16cid:commentId w16cid:paraId="718723A8" w16cid:durableId="1DE0E5D8"/>
  <w16cid:commentId w16cid:paraId="5C9FAE65" w16cid:durableId="1DE0E6B0"/>
  <w16cid:commentId w16cid:paraId="4018B11E" w16cid:durableId="1DE4F2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FB4A" w14:textId="77777777" w:rsidR="00F54950" w:rsidRDefault="00F54950"/>
  </w:endnote>
  <w:endnote w:type="continuationSeparator" w:id="0">
    <w:p w14:paraId="083C4C55" w14:textId="77777777" w:rsidR="00F54950" w:rsidRDefault="00F54950"/>
  </w:endnote>
  <w:endnote w:type="continuationNotice" w:id="1">
    <w:p w14:paraId="67B6E463" w14:textId="77777777" w:rsidR="00F54950" w:rsidRDefault="00F54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E524" w14:textId="1E6B25F2" w:rsidR="00300534" w:rsidRPr="00FA222B" w:rsidRDefault="00300534" w:rsidP="00FA222B">
    <w:pPr>
      <w:pStyle w:val="Footer"/>
      <w:tabs>
        <w:tab w:val="right" w:pos="9638"/>
      </w:tabs>
    </w:pPr>
    <w:r w:rsidRPr="00FA222B">
      <w:rPr>
        <w:b/>
        <w:sz w:val="18"/>
      </w:rPr>
      <w:fldChar w:fldCharType="begin"/>
    </w:r>
    <w:r w:rsidRPr="00FA222B">
      <w:rPr>
        <w:b/>
        <w:sz w:val="18"/>
      </w:rPr>
      <w:instrText xml:space="preserve"> PAGE  \* MERGEFORMAT </w:instrText>
    </w:r>
    <w:r w:rsidRPr="00FA222B">
      <w:rPr>
        <w:b/>
        <w:sz w:val="18"/>
      </w:rPr>
      <w:fldChar w:fldCharType="separate"/>
    </w:r>
    <w:r w:rsidR="00FC2B62">
      <w:rPr>
        <w:b/>
        <w:noProof/>
        <w:sz w:val="18"/>
      </w:rPr>
      <w:t>16</w:t>
    </w:r>
    <w:r w:rsidRPr="00FA22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21098" w14:textId="2611746E" w:rsidR="00300534" w:rsidRPr="00FA222B" w:rsidRDefault="00300534" w:rsidP="00FA222B">
    <w:pPr>
      <w:pStyle w:val="Footer"/>
      <w:tabs>
        <w:tab w:val="right" w:pos="9638"/>
      </w:tabs>
      <w:rPr>
        <w:b/>
        <w:sz w:val="18"/>
      </w:rPr>
    </w:pPr>
    <w:r>
      <w:tab/>
    </w:r>
    <w:r w:rsidRPr="00FA222B">
      <w:rPr>
        <w:b/>
        <w:sz w:val="18"/>
      </w:rPr>
      <w:fldChar w:fldCharType="begin"/>
    </w:r>
    <w:r w:rsidRPr="00FA222B">
      <w:rPr>
        <w:b/>
        <w:sz w:val="18"/>
      </w:rPr>
      <w:instrText xml:space="preserve"> PAGE  \* MERGEFORMAT </w:instrText>
    </w:r>
    <w:r w:rsidRPr="00FA222B">
      <w:rPr>
        <w:b/>
        <w:sz w:val="18"/>
      </w:rPr>
      <w:fldChar w:fldCharType="separate"/>
    </w:r>
    <w:r w:rsidR="00FC2B62">
      <w:rPr>
        <w:b/>
        <w:noProof/>
        <w:sz w:val="18"/>
      </w:rPr>
      <w:t>15</w:t>
    </w:r>
    <w:r w:rsidRPr="00FA22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4BA2" w14:textId="77777777" w:rsidR="00F144A1" w:rsidRDefault="001B4C8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33BD3" w14:textId="77777777" w:rsidR="00F54950" w:rsidRPr="000B175B" w:rsidRDefault="00F54950" w:rsidP="000B175B">
      <w:pPr>
        <w:tabs>
          <w:tab w:val="right" w:pos="2155"/>
        </w:tabs>
        <w:spacing w:after="80"/>
        <w:ind w:left="680"/>
        <w:rPr>
          <w:u w:val="single"/>
        </w:rPr>
      </w:pPr>
      <w:r>
        <w:rPr>
          <w:u w:val="single"/>
        </w:rPr>
        <w:tab/>
      </w:r>
    </w:p>
  </w:footnote>
  <w:footnote w:type="continuationSeparator" w:id="0">
    <w:p w14:paraId="5831092E" w14:textId="77777777" w:rsidR="00F54950" w:rsidRPr="00FC68B7" w:rsidRDefault="00F54950" w:rsidP="00FC68B7">
      <w:pPr>
        <w:tabs>
          <w:tab w:val="left" w:pos="2155"/>
        </w:tabs>
        <w:spacing w:after="80"/>
        <w:ind w:left="680"/>
        <w:rPr>
          <w:u w:val="single"/>
        </w:rPr>
      </w:pPr>
      <w:r>
        <w:rPr>
          <w:u w:val="single"/>
        </w:rPr>
        <w:tab/>
      </w:r>
    </w:p>
  </w:footnote>
  <w:footnote w:type="continuationNotice" w:id="1">
    <w:p w14:paraId="081A303C" w14:textId="77777777" w:rsidR="00F54950" w:rsidRDefault="00F54950"/>
  </w:footnote>
  <w:footnote w:id="2">
    <w:p w14:paraId="45F3CC2D" w14:textId="6BC40E87" w:rsidR="000C0942" w:rsidRPr="00394314" w:rsidRDefault="000C0942" w:rsidP="000C0942">
      <w:pPr>
        <w:pStyle w:val="FootnoteText"/>
      </w:pPr>
      <w:r w:rsidRPr="00394314">
        <w:rPr>
          <w:rStyle w:val="FootnoteReference"/>
          <w:szCs w:val="18"/>
        </w:rPr>
        <w:tab/>
      </w:r>
      <w:r w:rsidRPr="00394314">
        <w:rPr>
          <w:rStyle w:val="FootnoteReference"/>
          <w:szCs w:val="18"/>
          <w:vertAlign w:val="baseline"/>
        </w:rPr>
        <w:t>*</w:t>
      </w:r>
      <w:r>
        <w:rPr>
          <w:rStyle w:val="FootnoteReference"/>
          <w:sz w:val="20"/>
          <w:vertAlign w:val="baseline"/>
        </w:rPr>
        <w:tab/>
      </w:r>
      <w:r>
        <w:t xml:space="preserve">Adopted by </w:t>
      </w:r>
      <w:r w:rsidRPr="00394314">
        <w:t>the</w:t>
      </w:r>
      <w:r>
        <w:t xml:space="preserve"> Committee at its 125</w:t>
      </w:r>
      <w:r w:rsidRPr="000C0942">
        <w:rPr>
          <w:vertAlign w:val="superscript"/>
        </w:rPr>
        <w:t>th</w:t>
      </w:r>
      <w:r>
        <w:t xml:space="preserve"> session (4 – 29 March 2019).</w:t>
      </w:r>
    </w:p>
  </w:footnote>
  <w:footnote w:id="3">
    <w:p w14:paraId="285ED7F1" w14:textId="70718C0B" w:rsidR="0064585E" w:rsidRPr="00394314" w:rsidRDefault="0064585E" w:rsidP="0064585E">
      <w:pPr>
        <w:pStyle w:val="FootnoteText"/>
      </w:pPr>
      <w:r w:rsidRPr="00394314">
        <w:rPr>
          <w:rStyle w:val="FootnoteReference"/>
          <w:szCs w:val="18"/>
        </w:rPr>
        <w:tab/>
      </w:r>
      <w:r w:rsidRPr="00394314">
        <w:rPr>
          <w:rStyle w:val="FootnoteReference"/>
          <w:szCs w:val="18"/>
          <w:vertAlign w:val="baseline"/>
        </w:rPr>
        <w:t>**</w:t>
      </w:r>
      <w:r w:rsidRPr="00394314">
        <w:rPr>
          <w:rStyle w:val="FootnoteReference"/>
          <w:szCs w:val="18"/>
          <w:vertAlign w:val="baseline"/>
        </w:rPr>
        <w:tab/>
      </w:r>
      <w:r>
        <w:t xml:space="preserve">The following members of the Committee participated in the examination of the present </w:t>
      </w:r>
      <w:r w:rsidRPr="00DF6B8C">
        <w:t xml:space="preserve">communication: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rsidRPr="00DF6B8C">
        <w:t>Yadh</w:t>
      </w:r>
      <w:proofErr w:type="spellEnd"/>
      <w:r w:rsidRPr="00DF6B8C">
        <w:t xml:space="preserve"> Ben </w:t>
      </w:r>
      <w:proofErr w:type="spellStart"/>
      <w:r w:rsidRPr="00DF6B8C">
        <w:t>Achour</w:t>
      </w:r>
      <w:proofErr w:type="spellEnd"/>
      <w:r w:rsidRPr="00DF6B8C">
        <w:t xml:space="preserve">, </w:t>
      </w:r>
      <w:proofErr w:type="spellStart"/>
      <w:r w:rsidRPr="00DF6B8C">
        <w:t>Ilze</w:t>
      </w:r>
      <w:proofErr w:type="spellEnd"/>
      <w:r w:rsidRPr="00DF6B8C">
        <w:t xml:space="preserve"> Brands </w:t>
      </w:r>
      <w:proofErr w:type="spellStart"/>
      <w:r w:rsidRPr="00DF6B8C">
        <w:t>Kehris</w:t>
      </w:r>
      <w:proofErr w:type="spellEnd"/>
      <w:r w:rsidRPr="00DF6B8C">
        <w:t xml:space="preserve">, </w:t>
      </w:r>
      <w:r>
        <w:t xml:space="preserve">Christopher </w:t>
      </w:r>
      <w:proofErr w:type="spellStart"/>
      <w:r>
        <w:t>Arif</w:t>
      </w:r>
      <w:proofErr w:type="spellEnd"/>
      <w:r>
        <w:t xml:space="preserve"> </w:t>
      </w:r>
      <w:proofErr w:type="spellStart"/>
      <w:r>
        <w:t>Bulkan</w:t>
      </w:r>
      <w:proofErr w:type="spellEnd"/>
      <w:r>
        <w:t xml:space="preserve">, </w:t>
      </w:r>
      <w:r w:rsidRPr="00DF6B8C">
        <w:t xml:space="preserve">Ahmed Amin </w:t>
      </w:r>
      <w:proofErr w:type="spellStart"/>
      <w:r w:rsidRPr="00DF6B8C">
        <w:t>Fathalla</w:t>
      </w:r>
      <w:proofErr w:type="spellEnd"/>
      <w:r w:rsidRPr="00DF6B8C">
        <w:t>,</w:t>
      </w:r>
      <w:r>
        <w:t xml:space="preserve"> Shuichi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98434E">
        <w:t>Bamariam</w:t>
      </w:r>
      <w:proofErr w:type="spellEnd"/>
      <w:r w:rsidRPr="0098434E">
        <w:t xml:space="preserve"> </w:t>
      </w:r>
      <w:proofErr w:type="spellStart"/>
      <w:r w:rsidRPr="0098434E">
        <w:t>Koita</w:t>
      </w:r>
      <w:proofErr w:type="spellEnd"/>
      <w:r w:rsidRPr="0098434E">
        <w:t>,</w:t>
      </w:r>
      <w:r w:rsidR="000C0942" w:rsidRPr="000C0942">
        <w:t xml:space="preserve"> Marcia V.J. </w:t>
      </w:r>
      <w:proofErr w:type="spellStart"/>
      <w:r w:rsidR="000C0942" w:rsidRPr="000C0942">
        <w:t>Kran</w:t>
      </w:r>
      <w:proofErr w:type="spellEnd"/>
      <w:r w:rsidR="000C0942" w:rsidRPr="000C0942">
        <w:t xml:space="preserve">, </w:t>
      </w:r>
      <w:r>
        <w:t xml:space="preserve">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w:t>
      </w:r>
      <w:proofErr w:type="spellEnd"/>
      <w:r>
        <w:rPr>
          <w:lang w:val="cs-CZ"/>
        </w:rPr>
        <w:t xml:space="preserve">án Quezada, Vasilka Sancin, </w:t>
      </w:r>
      <w:r w:rsidRPr="0098434E">
        <w:t xml:space="preserve">José Manuel </w:t>
      </w:r>
      <w:r>
        <w:t xml:space="preserve">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rPr>
          <w:bCs/>
        </w:rPr>
        <w:t>.</w:t>
      </w:r>
    </w:p>
  </w:footnote>
  <w:footnote w:id="4">
    <w:p w14:paraId="61756FD9" w14:textId="15B690A8" w:rsidR="005465E8" w:rsidRPr="005312B0" w:rsidRDefault="005465E8" w:rsidP="005465E8">
      <w:pPr>
        <w:pStyle w:val="FootnoteText"/>
      </w:pPr>
      <w:r w:rsidRPr="005312B0">
        <w:rPr>
          <w:rStyle w:val="FootnoteReference"/>
          <w:szCs w:val="18"/>
        </w:rPr>
        <w:tab/>
      </w:r>
      <w:r w:rsidRPr="005312B0">
        <w:rPr>
          <w:rStyle w:val="FootnoteReference"/>
          <w:szCs w:val="18"/>
          <w:vertAlign w:val="baseline"/>
        </w:rPr>
        <w:t>***</w:t>
      </w:r>
      <w:r w:rsidRPr="005312B0">
        <w:rPr>
          <w:rStyle w:val="FootnoteReference"/>
          <w:szCs w:val="18"/>
          <w:vertAlign w:val="baseline"/>
        </w:rPr>
        <w:tab/>
        <w:t xml:space="preserve">Individual opinion (dissenting) by Committee member </w:t>
      </w:r>
      <w:proofErr w:type="spellStart"/>
      <w:r w:rsidRPr="00DF6B8C">
        <w:t>Yadh</w:t>
      </w:r>
      <w:proofErr w:type="spellEnd"/>
      <w:r w:rsidRPr="00DF6B8C">
        <w:t xml:space="preserve"> Ben </w:t>
      </w:r>
      <w:proofErr w:type="spellStart"/>
      <w:r w:rsidRPr="00DF6B8C">
        <w:t>Achour</w:t>
      </w:r>
      <w:proofErr w:type="spellEnd"/>
      <w:r>
        <w:t xml:space="preserve"> </w:t>
      </w:r>
      <w:r w:rsidR="00873EB2">
        <w:t xml:space="preserve">is </w:t>
      </w:r>
      <w:r w:rsidRPr="005312B0">
        <w:rPr>
          <w:rStyle w:val="FootnoteReference"/>
          <w:szCs w:val="18"/>
          <w:vertAlign w:val="baseline"/>
        </w:rPr>
        <w:t>annexed to the present Views.</w:t>
      </w:r>
      <w:r>
        <w:rPr>
          <w:szCs w:val="18"/>
        </w:rPr>
        <w:t xml:space="preserve"> </w:t>
      </w:r>
    </w:p>
  </w:footnote>
  <w:footnote w:id="5">
    <w:p w14:paraId="63343978" w14:textId="7D6D774D" w:rsidR="00300534" w:rsidRPr="00D30865" w:rsidRDefault="002573B0" w:rsidP="007675B3">
      <w:pPr>
        <w:pStyle w:val="FootnoteText"/>
        <w:rPr>
          <w:lang w:val="en-US"/>
        </w:rPr>
      </w:pPr>
      <w:r>
        <w:tab/>
      </w:r>
      <w:r w:rsidR="00300534">
        <w:rPr>
          <w:rStyle w:val="FootnoteReference"/>
        </w:rPr>
        <w:footnoteRef/>
      </w:r>
      <w:r w:rsidR="00300534">
        <w:tab/>
      </w:r>
      <w:r w:rsidR="00300534">
        <w:rPr>
          <w:lang w:val="en-US"/>
        </w:rPr>
        <w:t>Regulation No. 604/2013/EU of the European Parliament and of the Council on establishing the criteria and mechanisms for determining the Member State responsible for examining an application for international protection lodged in one of the Member States by a third-country national or a stateless person (Dublin Regulation).</w:t>
      </w:r>
      <w:r w:rsidR="002743E7">
        <w:rPr>
          <w:lang w:val="en-US"/>
        </w:rPr>
        <w:t xml:space="preserve"> </w:t>
      </w:r>
    </w:p>
  </w:footnote>
  <w:footnote w:id="6">
    <w:p w14:paraId="7CEA459B" w14:textId="38773C05" w:rsidR="00300534" w:rsidRPr="00927C7D" w:rsidRDefault="002573B0" w:rsidP="007675B3">
      <w:pPr>
        <w:pStyle w:val="FootnoteText"/>
        <w:rPr>
          <w:lang w:val="en-US"/>
        </w:rPr>
      </w:pPr>
      <w:r>
        <w:tab/>
      </w:r>
      <w:r w:rsidR="00300534">
        <w:rPr>
          <w:rStyle w:val="FootnoteReference"/>
        </w:rPr>
        <w:footnoteRef/>
      </w:r>
      <w:r w:rsidR="00300534">
        <w:tab/>
      </w:r>
      <w:r w:rsidR="00300534">
        <w:rPr>
          <w:lang w:val="en-US"/>
        </w:rPr>
        <w:t xml:space="preserve">The date of deportation has not been specified. </w:t>
      </w:r>
    </w:p>
  </w:footnote>
  <w:footnote w:id="7">
    <w:p w14:paraId="2E71AC99" w14:textId="21A4F57B" w:rsidR="00300534" w:rsidRDefault="002573B0" w:rsidP="007675B3">
      <w:pPr>
        <w:pStyle w:val="FootnoteText"/>
      </w:pPr>
      <w:r>
        <w:tab/>
      </w:r>
      <w:r w:rsidR="00300534">
        <w:rPr>
          <w:rStyle w:val="FootnoteReference"/>
        </w:rPr>
        <w:footnoteRef/>
      </w:r>
      <w:r>
        <w:tab/>
      </w:r>
      <w:r w:rsidR="00300534">
        <w:t>The State party submitted separate observations on the admissibi</w:t>
      </w:r>
      <w:r>
        <w:t>lity of the communication on 27 </w:t>
      </w:r>
      <w:r w:rsidR="00300534">
        <w:t xml:space="preserve">February 2017. </w:t>
      </w:r>
    </w:p>
  </w:footnote>
  <w:footnote w:id="8">
    <w:p w14:paraId="14CEB078" w14:textId="55BFE31D" w:rsidR="00F21C41" w:rsidRPr="00F21C41" w:rsidRDefault="002573B0" w:rsidP="007675B3">
      <w:pPr>
        <w:pStyle w:val="FootnoteText"/>
        <w:rPr>
          <w:lang w:val="en-US"/>
        </w:rPr>
      </w:pPr>
      <w:r>
        <w:tab/>
      </w:r>
      <w:r w:rsidR="00F21C41">
        <w:rPr>
          <w:rStyle w:val="FootnoteReference"/>
        </w:rPr>
        <w:footnoteRef/>
      </w:r>
      <w:r>
        <w:tab/>
      </w:r>
      <w:r w:rsidR="00F21C41">
        <w:t xml:space="preserve">The author </w:t>
      </w:r>
      <w:r w:rsidR="00F21C41">
        <w:rPr>
          <w:lang w:val="en-US"/>
        </w:rPr>
        <w:t xml:space="preserve">claimed to be a Tajik national and a Sunnite Muslim by religion, according to the State party’s observations. </w:t>
      </w:r>
    </w:p>
  </w:footnote>
  <w:footnote w:id="9">
    <w:p w14:paraId="405E0905" w14:textId="70278785" w:rsidR="00300534" w:rsidRPr="00E34F1A" w:rsidRDefault="002573B0" w:rsidP="00156F84">
      <w:pPr>
        <w:pStyle w:val="FootnoteText"/>
        <w:rPr>
          <w:lang w:val="en-US"/>
        </w:rPr>
      </w:pPr>
      <w:r>
        <w:tab/>
      </w:r>
      <w:r w:rsidR="00300534">
        <w:rPr>
          <w:rStyle w:val="FootnoteReference"/>
        </w:rPr>
        <w:footnoteRef/>
      </w:r>
      <w:r w:rsidR="00300534">
        <w:tab/>
      </w:r>
      <w:r w:rsidR="00300534" w:rsidRPr="00E34F1A">
        <w:rPr>
          <w:lang w:val="en-US"/>
        </w:rPr>
        <w:t xml:space="preserve">No further information has been provided. </w:t>
      </w:r>
    </w:p>
  </w:footnote>
  <w:footnote w:id="10">
    <w:p w14:paraId="6C322FD1" w14:textId="65B67366" w:rsidR="00300534" w:rsidRPr="00E34F1A" w:rsidRDefault="002573B0" w:rsidP="00156F84">
      <w:pPr>
        <w:pStyle w:val="FootnoteText"/>
        <w:rPr>
          <w:szCs w:val="18"/>
          <w:lang w:val="en-US"/>
        </w:rPr>
      </w:pPr>
      <w:r>
        <w:rPr>
          <w:szCs w:val="18"/>
        </w:rPr>
        <w:tab/>
      </w:r>
      <w:r w:rsidR="00300534" w:rsidRPr="00E34F1A">
        <w:rPr>
          <w:rStyle w:val="FootnoteReference"/>
          <w:szCs w:val="18"/>
        </w:rPr>
        <w:footnoteRef/>
      </w:r>
      <w:r w:rsidR="00300534" w:rsidRPr="00E34F1A">
        <w:rPr>
          <w:szCs w:val="18"/>
        </w:rPr>
        <w:tab/>
      </w:r>
      <w:r w:rsidR="00300534" w:rsidRPr="00E34F1A">
        <w:rPr>
          <w:szCs w:val="18"/>
          <w:lang w:val="en-US"/>
        </w:rPr>
        <w:t xml:space="preserve">The certificate has been submitted together with the initial communication. </w:t>
      </w:r>
    </w:p>
  </w:footnote>
  <w:footnote w:id="11">
    <w:p w14:paraId="03575C2A" w14:textId="27F3DFF5" w:rsidR="00300534" w:rsidRPr="006563D5" w:rsidRDefault="002573B0" w:rsidP="002573B0">
      <w:pPr>
        <w:pStyle w:val="FootnoteText"/>
      </w:pPr>
      <w:r>
        <w:tab/>
      </w:r>
      <w:r w:rsidR="00300534">
        <w:rPr>
          <w:rStyle w:val="FootnoteReference"/>
        </w:rPr>
        <w:footnoteRef/>
      </w:r>
      <w:r>
        <w:tab/>
      </w:r>
      <w:r w:rsidR="00300534">
        <w:t xml:space="preserve">See the </w:t>
      </w:r>
      <w:r w:rsidR="00300534" w:rsidRPr="006563D5">
        <w:t>General Comment No. 20 (1992)</w:t>
      </w:r>
      <w:r w:rsidR="00300534">
        <w:t xml:space="preserve">, </w:t>
      </w:r>
      <w:r w:rsidR="00300534" w:rsidRPr="00F86C7B">
        <w:t>para.</w:t>
      </w:r>
      <w:r w:rsidR="00300534">
        <w:t xml:space="preserve"> 9, </w:t>
      </w:r>
      <w:r w:rsidR="00300534" w:rsidRPr="006563D5">
        <w:t>and</w:t>
      </w:r>
      <w:r w:rsidR="00300534">
        <w:t xml:space="preserve"> the </w:t>
      </w:r>
      <w:r w:rsidR="00300534" w:rsidRPr="006563D5">
        <w:t>General Comment No.</w:t>
      </w:r>
      <w:r w:rsidR="00300534">
        <w:t xml:space="preserve"> 31 (2004), para. 12.</w:t>
      </w:r>
      <w:r w:rsidR="00300534" w:rsidRPr="00043D67">
        <w:t xml:space="preserve"> </w:t>
      </w:r>
      <w:r w:rsidR="00300534">
        <w:t xml:space="preserve">See also </w:t>
      </w:r>
      <w:r w:rsidR="00300534" w:rsidRPr="00043D67">
        <w:t xml:space="preserve">communications </w:t>
      </w:r>
      <w:r w:rsidR="00300534" w:rsidRPr="00043D67">
        <w:rPr>
          <w:i/>
        </w:rPr>
        <w:t>Kindler v. Canada</w:t>
      </w:r>
      <w:r w:rsidR="00300534" w:rsidRPr="00043D67">
        <w:t xml:space="preserve"> (CCPR/C/48/D/470/1991)</w:t>
      </w:r>
      <w:r w:rsidR="00300534">
        <w:t xml:space="preserve">, </w:t>
      </w:r>
      <w:r w:rsidR="00300534" w:rsidRPr="00043D67">
        <w:t>para. 6.2.</w:t>
      </w:r>
      <w:r w:rsidR="00300534">
        <w:t xml:space="preserve">, </w:t>
      </w:r>
      <w:r w:rsidR="00300534" w:rsidRPr="00043D67">
        <w:t xml:space="preserve">and </w:t>
      </w:r>
      <w:r w:rsidR="00300534" w:rsidRPr="00043D67">
        <w:rPr>
          <w:i/>
        </w:rPr>
        <w:t>X. v. Sweden</w:t>
      </w:r>
      <w:r w:rsidR="00300534" w:rsidRPr="00043D67">
        <w:t xml:space="preserve"> (</w:t>
      </w:r>
      <w:r w:rsidR="005D1FA4" w:rsidRPr="005D1FA4">
        <w:t>CCPR/C/103/D/1833/2008</w:t>
      </w:r>
      <w:r>
        <w:t>), para. 5.18.</w:t>
      </w:r>
    </w:p>
  </w:footnote>
  <w:footnote w:id="12">
    <w:p w14:paraId="4B37D1DD" w14:textId="16DFCA67" w:rsidR="0061342F" w:rsidRDefault="0061342F" w:rsidP="002573B0">
      <w:pPr>
        <w:pStyle w:val="FootnoteText"/>
      </w:pPr>
      <w:r>
        <w:tab/>
      </w:r>
      <w:r>
        <w:rPr>
          <w:rStyle w:val="FootnoteReference"/>
        </w:rPr>
        <w:footnoteRef/>
      </w:r>
      <w:r w:rsidR="002573B0">
        <w:tab/>
      </w:r>
      <w:r w:rsidRPr="001243C7">
        <w:t>See AIDA: Dublin, Bulgaria (http://www.asylumineurope.org/reports/country/bulgaria), update from February 2018</w:t>
      </w:r>
      <w:r>
        <w:t xml:space="preserve">. See also </w:t>
      </w:r>
      <w:proofErr w:type="spellStart"/>
      <w:r w:rsidRPr="00A70E44">
        <w:t>ProAsyl</w:t>
      </w:r>
      <w:proofErr w:type="spellEnd"/>
      <w:r w:rsidRPr="00A70E44">
        <w:t>: Humiliated, ill-treated and without protection; Refugees and asylum-seekers in Bulgaria</w:t>
      </w:r>
      <w:r>
        <w:t xml:space="preserve">. </w:t>
      </w:r>
    </w:p>
  </w:footnote>
  <w:footnote w:id="13">
    <w:p w14:paraId="0335BF25" w14:textId="23E90E10" w:rsidR="00300534" w:rsidRPr="00566B08" w:rsidRDefault="002573B0" w:rsidP="002573B0">
      <w:pPr>
        <w:pStyle w:val="FootnoteText"/>
      </w:pPr>
      <w:r>
        <w:tab/>
      </w:r>
      <w:r w:rsidR="00300534" w:rsidRPr="00E34F1A">
        <w:rPr>
          <w:rStyle w:val="FootnoteReference"/>
          <w:szCs w:val="18"/>
        </w:rPr>
        <w:footnoteRef/>
      </w:r>
      <w:r>
        <w:tab/>
      </w:r>
      <w:r w:rsidR="00300534">
        <w:t xml:space="preserve">See </w:t>
      </w:r>
      <w:r w:rsidR="00300534" w:rsidRPr="00E34F1A">
        <w:t xml:space="preserve">European Court for Human Rights, </w:t>
      </w:r>
      <w:proofErr w:type="spellStart"/>
      <w:r w:rsidR="00300534" w:rsidRPr="00E34F1A">
        <w:rPr>
          <w:i/>
        </w:rPr>
        <w:t>Budina</w:t>
      </w:r>
      <w:proofErr w:type="spellEnd"/>
      <w:r w:rsidR="00300534" w:rsidRPr="00E34F1A">
        <w:rPr>
          <w:i/>
        </w:rPr>
        <w:t xml:space="preserve"> v. Russian Federation </w:t>
      </w:r>
      <w:r w:rsidR="00300534">
        <w:t xml:space="preserve">(application no. 45603/05), decision </w:t>
      </w:r>
      <w:r w:rsidR="00300534" w:rsidRPr="00E34F1A">
        <w:t xml:space="preserve">of 18 June 2009, </w:t>
      </w:r>
      <w:r w:rsidR="00300534">
        <w:t xml:space="preserve">in which the Court </w:t>
      </w:r>
      <w:r w:rsidR="00300534" w:rsidRPr="00E34F1A">
        <w:t>consider</w:t>
      </w:r>
      <w:r w:rsidR="00300534">
        <w:t xml:space="preserve">ed </w:t>
      </w:r>
      <w:r w:rsidR="00300534" w:rsidRPr="00E34F1A">
        <w:t>that inaction on part of the State party in the face of severe conditions may amount to inhuman or degrading treatment under article 3 of E</w:t>
      </w:r>
      <w:r w:rsidR="00300534">
        <w:t>uropean Convention on Human Rights (E</w:t>
      </w:r>
      <w:r w:rsidR="00300534" w:rsidRPr="00E34F1A">
        <w:t>CHR</w:t>
      </w:r>
      <w:r w:rsidR="00300534">
        <w:t>)</w:t>
      </w:r>
      <w:r w:rsidR="00300534" w:rsidRPr="00E34F1A">
        <w:t>.</w:t>
      </w:r>
      <w:r w:rsidR="00300534">
        <w:t xml:space="preserve"> See also AIDA: Dublin, Bulgaria (</w:t>
      </w:r>
      <w:hyperlink r:id="rId1" w:history="1">
        <w:r w:rsidR="00300534" w:rsidRPr="00CE1DC0">
          <w:rPr>
            <w:rStyle w:val="Hyperlink"/>
            <w:szCs w:val="18"/>
          </w:rPr>
          <w:t>http://www.asylumineurope.org/reports/country/bulgaria</w:t>
        </w:r>
      </w:hyperlink>
      <w:r w:rsidR="00300534">
        <w:t xml:space="preserve">), update from February 2018; CPT, Report to the Bulgarian Government on the visit to Bulgaria carried out by the European Committee for the Prevention of Torture and Inhuman or Degrading Treatment or Punishment (CPT) from 18 to 29 October 2010, Strasbourg, 15 March 2012, pages 24-30; and Report by Nils </w:t>
      </w:r>
      <w:proofErr w:type="spellStart"/>
      <w:r w:rsidR="00300534">
        <w:t>Muižnieks</w:t>
      </w:r>
      <w:proofErr w:type="spellEnd"/>
      <w:r w:rsidR="00300534">
        <w:t>, Council of Europe Commissioner for Human Rights, following his visit to Bulgaria, from 9 to 11 February 2015 (</w:t>
      </w:r>
      <w:hyperlink r:id="rId2" w:history="1">
        <w:r w:rsidR="00300534" w:rsidRPr="00CE1DC0">
          <w:rPr>
            <w:rStyle w:val="Hyperlink"/>
            <w:szCs w:val="18"/>
          </w:rPr>
          <w:t>http://bit.ly/1GHj8EN</w:t>
        </w:r>
      </w:hyperlink>
      <w:r w:rsidR="00300534">
        <w:t>). See also the assessment of detention conditions in Bulgaria as inhumane or degrading treatment in ECRE-ELENA: Research Note: Reception conditions, detention and procedural safeguards for asylum seekers and content of international protection status in Bulgaria (</w:t>
      </w:r>
      <w:hyperlink r:id="rId3" w:history="1">
        <w:r w:rsidRPr="001E0A8F">
          <w:rPr>
            <w:rStyle w:val="Hyperlink"/>
            <w:szCs w:val="18"/>
          </w:rPr>
          <w:t>http://www.asylumlawdatabase.eu/sites/www.asylumlawdatabase.eu/files/aldfiles/Research%20Note%20-%20Reception%20conditions%2C%20detention%20and%20procedural%20safeguards%20for</w:t>
        </w:r>
        <w:r w:rsidRPr="001E0A8F">
          <w:rPr>
            <w:rStyle w:val="Hyperlink"/>
            <w:szCs w:val="18"/>
          </w:rPr>
          <w:br/>
          <w:t>%20asylum%20seekers%20and%20content%20of%20international%20protection%20status%20in%20Bulgaria.pdf</w:t>
        </w:r>
      </w:hyperlink>
      <w:r w:rsidR="00300534">
        <w:t xml:space="preserve">). </w:t>
      </w:r>
    </w:p>
  </w:footnote>
  <w:footnote w:id="14">
    <w:p w14:paraId="384AEEC8" w14:textId="2102D272" w:rsidR="00300534" w:rsidRPr="00E34F1A" w:rsidRDefault="00300534" w:rsidP="002573B0">
      <w:pPr>
        <w:pStyle w:val="FootnoteText"/>
      </w:pPr>
      <w:r>
        <w:tab/>
      </w:r>
      <w:r>
        <w:rPr>
          <w:rStyle w:val="FootnoteReference"/>
        </w:rPr>
        <w:footnoteRef/>
      </w:r>
      <w:r w:rsidR="002573B0">
        <w:tab/>
      </w:r>
      <w:r>
        <w:t xml:space="preserve">See European Court of Human Rights, </w:t>
      </w:r>
      <w:r w:rsidRPr="00E34F1A">
        <w:rPr>
          <w:i/>
        </w:rPr>
        <w:t>M.S.S. v. Belgium and Greece</w:t>
      </w:r>
      <w:r>
        <w:rPr>
          <w:i/>
        </w:rPr>
        <w:t xml:space="preserve"> </w:t>
      </w:r>
      <w:r>
        <w:t xml:space="preserve">(application no. 30696/09), </w:t>
      </w:r>
      <w:proofErr w:type="gramStart"/>
      <w:r>
        <w:t>decision</w:t>
      </w:r>
      <w:proofErr w:type="gramEnd"/>
      <w:r>
        <w:t xml:space="preserve"> of 21 January 2011. </w:t>
      </w:r>
    </w:p>
  </w:footnote>
  <w:footnote w:id="15">
    <w:p w14:paraId="2338A9E7" w14:textId="6294B23A" w:rsidR="00300534" w:rsidRDefault="002573B0" w:rsidP="002573B0">
      <w:pPr>
        <w:pStyle w:val="FootnoteText"/>
      </w:pPr>
      <w:r>
        <w:tab/>
      </w:r>
      <w:r w:rsidR="00300534">
        <w:rPr>
          <w:rStyle w:val="FootnoteReference"/>
        </w:rPr>
        <w:footnoteRef/>
      </w:r>
      <w:r>
        <w:tab/>
      </w:r>
      <w:proofErr w:type="spellStart"/>
      <w:r w:rsidR="00300534">
        <w:t>ProAsyl</w:t>
      </w:r>
      <w:proofErr w:type="spellEnd"/>
      <w:r w:rsidR="00300534">
        <w:t xml:space="preserve">: Humiliated, ill-treated and without protection; Refugees and asylum-seekers in Bulgaria: </w:t>
      </w:r>
      <w:r w:rsidR="00300534" w:rsidRPr="00CA0B98">
        <w:t>https://www.proasyl.de/en/material/humiliated-ill-treated-and-without-protection-refugees-and-asylum-seekers-in-bulgaria-2/</w:t>
      </w:r>
      <w:r>
        <w:t>.</w:t>
      </w:r>
    </w:p>
  </w:footnote>
  <w:footnote w:id="16">
    <w:p w14:paraId="12E7D311" w14:textId="454F33DA" w:rsidR="00300534" w:rsidRPr="00343F7C" w:rsidRDefault="00300534" w:rsidP="002573B0">
      <w:pPr>
        <w:pStyle w:val="FootnoteText"/>
      </w:pPr>
      <w:r>
        <w:tab/>
      </w:r>
      <w:r>
        <w:rPr>
          <w:rStyle w:val="FootnoteReference"/>
        </w:rPr>
        <w:footnoteRef/>
      </w:r>
      <w:r w:rsidR="002573B0">
        <w:tab/>
      </w:r>
      <w:r>
        <w:t xml:space="preserve">The author, however, has not applied for asylum in Bulgaria. </w:t>
      </w:r>
    </w:p>
  </w:footnote>
  <w:footnote w:id="17">
    <w:p w14:paraId="0A5D9715" w14:textId="5283FFAA" w:rsidR="00300534" w:rsidRDefault="009704FD" w:rsidP="009704FD">
      <w:pPr>
        <w:pStyle w:val="FootnoteText"/>
      </w:pPr>
      <w:r>
        <w:tab/>
      </w:r>
      <w:r w:rsidR="00300534">
        <w:rPr>
          <w:rStyle w:val="FootnoteReference"/>
        </w:rPr>
        <w:footnoteRef/>
      </w:r>
      <w:r>
        <w:tab/>
      </w:r>
      <w:r w:rsidR="00300534">
        <w:t xml:space="preserve">The minutes are not enclosed with the State party’s observations. </w:t>
      </w:r>
    </w:p>
  </w:footnote>
  <w:footnote w:id="18">
    <w:p w14:paraId="7774F293" w14:textId="52C3D736" w:rsidR="00300534" w:rsidRPr="00C82A2C" w:rsidRDefault="009704FD" w:rsidP="009704FD">
      <w:pPr>
        <w:pStyle w:val="FootnoteText"/>
      </w:pPr>
      <w:r>
        <w:tab/>
      </w:r>
      <w:r w:rsidR="00300534">
        <w:rPr>
          <w:rStyle w:val="FootnoteReference"/>
        </w:rPr>
        <w:footnoteRef/>
      </w:r>
      <w:r>
        <w:tab/>
      </w:r>
      <w:r w:rsidR="00300534">
        <w:t xml:space="preserve">While the author has referred to the Office for Immigration and Nationality, the present document will use the name of </w:t>
      </w:r>
      <w:r w:rsidR="00300534" w:rsidRPr="00C82A2C">
        <w:t>Immigration and Asylum Office</w:t>
      </w:r>
      <w:r w:rsidR="00300534">
        <w:t>, as per observations by the State party.</w:t>
      </w:r>
      <w:r w:rsidR="002743E7">
        <w:t xml:space="preserve"> </w:t>
      </w:r>
    </w:p>
  </w:footnote>
  <w:footnote w:id="19">
    <w:p w14:paraId="19DEFF23" w14:textId="61DED12A" w:rsidR="00300534" w:rsidRDefault="009704FD" w:rsidP="009704FD">
      <w:pPr>
        <w:pStyle w:val="FootnoteText"/>
      </w:pPr>
      <w:r>
        <w:tab/>
      </w:r>
      <w:r w:rsidR="00300534">
        <w:rPr>
          <w:rStyle w:val="FootnoteReference"/>
        </w:rPr>
        <w:footnoteRef/>
      </w:r>
      <w:r>
        <w:tab/>
      </w:r>
      <w:r w:rsidR="00300534" w:rsidRPr="00A322CD">
        <w:t>The Court explained in its reasoning that the O</w:t>
      </w:r>
      <w:r w:rsidR="00300534">
        <w:t xml:space="preserve">ffice acted </w:t>
      </w:r>
      <w:r w:rsidR="00300534" w:rsidRPr="00A322CD">
        <w:t xml:space="preserve">lawfully when it examined the available documents and the author’s oral statements. </w:t>
      </w:r>
    </w:p>
  </w:footnote>
  <w:footnote w:id="20">
    <w:p w14:paraId="5582F1D1" w14:textId="7AA6C571" w:rsidR="00300534" w:rsidRDefault="009704FD" w:rsidP="009704FD">
      <w:pPr>
        <w:pStyle w:val="FootnoteText"/>
      </w:pPr>
      <w:r>
        <w:tab/>
      </w:r>
      <w:r w:rsidR="00300534">
        <w:rPr>
          <w:rStyle w:val="FootnoteReference"/>
        </w:rPr>
        <w:footnoteRef/>
      </w:r>
      <w:r>
        <w:tab/>
      </w:r>
      <w:r w:rsidR="00300534">
        <w:t xml:space="preserve">In the author sibling’s case, it was also established that Bulgaria shall be the state adjudicating his asylum request. </w:t>
      </w:r>
    </w:p>
  </w:footnote>
  <w:footnote w:id="21">
    <w:p w14:paraId="7078E0E1" w14:textId="3E1FD868" w:rsidR="00300534" w:rsidRDefault="00300534" w:rsidP="009704FD">
      <w:pPr>
        <w:pStyle w:val="FootnoteText"/>
      </w:pPr>
      <w:r>
        <w:tab/>
      </w:r>
      <w:r>
        <w:rPr>
          <w:rStyle w:val="FootnoteReference"/>
        </w:rPr>
        <w:footnoteRef/>
      </w:r>
      <w:r w:rsidR="009704FD">
        <w:tab/>
      </w:r>
      <w:r>
        <w:t>The author refers to article 51 (1) of Act CXL of 2004 on the General Rules of Administrative Proceedings and Services which states that “</w:t>
      </w:r>
      <w:r w:rsidRPr="00CA2074">
        <w:rPr>
          <w:i/>
        </w:rPr>
        <w:t>the authority shall ascertain the relevant facts of the case in the decision-making process. If the information available is insufficient, the authority shall initiate an evidence procedure</w:t>
      </w:r>
      <w:r>
        <w:t>” and to Section 196 of the UNHCR Handbook and Guidelines on Procedures and Criteria for Determining Refugee Status under the 1951 Convention and the 1967 Protocol relating to the Status of Refugees, December 2011, which directs: “</w:t>
      </w:r>
      <w:r w:rsidRPr="00CA2074">
        <w:rPr>
          <w:i/>
        </w:rPr>
        <w:t>Thus, while the burden of proof in principle rests on the applicant, the duty to ascertain and evaluate all the relevant facts is shared between the applicant and the examiner. Indeed, in some cases, it may be for the examiner to use all the means at his disposal to produce the necessary evidence in support of the application</w:t>
      </w:r>
      <w:r>
        <w:t>.”</w:t>
      </w:r>
    </w:p>
  </w:footnote>
  <w:footnote w:id="22">
    <w:p w14:paraId="555CDA71" w14:textId="0179CE59" w:rsidR="00300534" w:rsidRDefault="009704FD" w:rsidP="009704FD">
      <w:pPr>
        <w:pStyle w:val="FootnoteText"/>
      </w:pPr>
      <w:r>
        <w:tab/>
      </w:r>
      <w:r w:rsidR="00300534">
        <w:rPr>
          <w:rStyle w:val="FootnoteReference"/>
        </w:rPr>
        <w:footnoteRef/>
      </w:r>
      <w:r>
        <w:tab/>
      </w:r>
      <w:r w:rsidR="00300534">
        <w:t xml:space="preserve">According to that provision, the authority shall ascertain the relevant facts of the case in the decision-making process. </w:t>
      </w:r>
    </w:p>
  </w:footnote>
  <w:footnote w:id="23">
    <w:p w14:paraId="16BB3D3F" w14:textId="6B434E07" w:rsidR="00300534" w:rsidRPr="000C084A" w:rsidRDefault="009704FD" w:rsidP="009704FD">
      <w:pPr>
        <w:pStyle w:val="FootnoteText"/>
        <w:rPr>
          <w:lang w:val="cs-CZ"/>
        </w:rPr>
      </w:pPr>
      <w:r>
        <w:tab/>
      </w:r>
      <w:r w:rsidR="00300534">
        <w:rPr>
          <w:rStyle w:val="FootnoteReference"/>
        </w:rPr>
        <w:footnoteRef/>
      </w:r>
      <w:r>
        <w:tab/>
      </w:r>
      <w:proofErr w:type="spellStart"/>
      <w:r w:rsidR="00300534">
        <w:rPr>
          <w:lang w:val="en-US"/>
        </w:rPr>
        <w:t>Gru</w:t>
      </w:r>
      <w:proofErr w:type="spellEnd"/>
      <w:r w:rsidR="00300534">
        <w:rPr>
          <w:lang w:val="cs-CZ"/>
        </w:rPr>
        <w:t xml:space="preserve">ša Matevžič: Unidentified and Unattended, The response of Eastern EU Member States to the Special Needs of Torture Survivor and Traumatised Asylum Seekers, May 2017. </w:t>
      </w:r>
    </w:p>
  </w:footnote>
  <w:footnote w:id="24">
    <w:p w14:paraId="6F187275" w14:textId="224BB09E" w:rsidR="00300534" w:rsidRDefault="009704FD" w:rsidP="009704FD">
      <w:pPr>
        <w:pStyle w:val="FootnoteText"/>
      </w:pPr>
      <w:r>
        <w:rPr>
          <w:lang w:val="cs-CZ"/>
        </w:rPr>
        <w:tab/>
      </w:r>
      <w:r w:rsidR="00300534">
        <w:rPr>
          <w:rStyle w:val="FootnoteReference"/>
        </w:rPr>
        <w:footnoteRef/>
      </w:r>
      <w:r>
        <w:rPr>
          <w:lang w:val="cs-CZ"/>
        </w:rPr>
        <w:tab/>
      </w:r>
      <w:r w:rsidR="00300534">
        <w:t xml:space="preserve">Annex 1 of the additional comments (List of preventions of Dublin </w:t>
      </w:r>
      <w:proofErr w:type="spellStart"/>
      <w:r w:rsidR="00300534">
        <w:t>Tranfers</w:t>
      </w:r>
      <w:proofErr w:type="spellEnd"/>
      <w:r w:rsidR="00300534">
        <w:t xml:space="preserve">) refers to the relevant case law from Germany and Belgium. </w:t>
      </w:r>
    </w:p>
  </w:footnote>
  <w:footnote w:id="25">
    <w:p w14:paraId="4F802C4B" w14:textId="77C1D359" w:rsidR="00300534" w:rsidRPr="003F29A4" w:rsidRDefault="00300534" w:rsidP="009704FD">
      <w:pPr>
        <w:pStyle w:val="FootnoteText"/>
        <w:rPr>
          <w:lang w:val="en-US"/>
        </w:rPr>
      </w:pPr>
      <w:r>
        <w:tab/>
      </w:r>
      <w:r>
        <w:rPr>
          <w:rStyle w:val="FootnoteReference"/>
        </w:rPr>
        <w:footnoteRef/>
      </w:r>
      <w:r w:rsidR="009704FD">
        <w:tab/>
      </w:r>
      <w:r>
        <w:t xml:space="preserve">Annex 2 of the additional comments (Letter of the </w:t>
      </w:r>
      <w:r w:rsidRPr="003F29A4">
        <w:t>Directorate-General Home Affairs dated 6 July 2017</w:t>
      </w:r>
      <w:r>
        <w:t>)</w:t>
      </w:r>
      <w:r w:rsidR="00DC10F2">
        <w:t>.</w:t>
      </w:r>
    </w:p>
  </w:footnote>
  <w:footnote w:id="26">
    <w:p w14:paraId="13A1774D" w14:textId="5A02FC52" w:rsidR="00300534" w:rsidRPr="0042663C" w:rsidRDefault="009704FD" w:rsidP="009704FD">
      <w:pPr>
        <w:pStyle w:val="FootnoteText"/>
        <w:rPr>
          <w:lang w:val="en-US"/>
        </w:rPr>
      </w:pPr>
      <w:r>
        <w:tab/>
      </w:r>
      <w:r w:rsidR="00300534">
        <w:rPr>
          <w:rStyle w:val="FootnoteReference"/>
        </w:rPr>
        <w:footnoteRef/>
      </w:r>
      <w:r>
        <w:tab/>
      </w:r>
      <w:r w:rsidR="00300534">
        <w:t xml:space="preserve">Psychiatric opinion of Cordelia Foundation issued on 8 November 2017. </w:t>
      </w:r>
    </w:p>
  </w:footnote>
  <w:footnote w:id="27">
    <w:p w14:paraId="582ACBC3" w14:textId="4075AE4D" w:rsidR="00300534" w:rsidRPr="006E4E8F" w:rsidRDefault="009704FD" w:rsidP="00156F84">
      <w:pPr>
        <w:pStyle w:val="FootnoteText"/>
        <w:rPr>
          <w:lang w:val="en-US"/>
        </w:rPr>
      </w:pPr>
      <w:r>
        <w:tab/>
      </w:r>
      <w:r w:rsidR="00300534">
        <w:rPr>
          <w:rStyle w:val="FootnoteReference"/>
        </w:rPr>
        <w:footnoteRef/>
      </w:r>
      <w:r w:rsidR="00300534">
        <w:tab/>
      </w:r>
      <w:r w:rsidR="00300534">
        <w:rPr>
          <w:lang w:val="en-US"/>
        </w:rPr>
        <w:t xml:space="preserve">Annex 1 to the additional comments. </w:t>
      </w:r>
    </w:p>
  </w:footnote>
  <w:footnote w:id="28">
    <w:p w14:paraId="69E13F53" w14:textId="0E138EBC" w:rsidR="00300534" w:rsidRPr="001F23F2" w:rsidRDefault="009704FD" w:rsidP="009704FD">
      <w:pPr>
        <w:pStyle w:val="FootnoteText"/>
        <w:rPr>
          <w:lang w:val="en-US"/>
        </w:rPr>
      </w:pPr>
      <w:r>
        <w:tab/>
      </w:r>
      <w:r w:rsidR="00300534">
        <w:rPr>
          <w:rStyle w:val="FootnoteReference"/>
        </w:rPr>
        <w:footnoteRef/>
      </w:r>
      <w:r>
        <w:tab/>
      </w:r>
      <w:r w:rsidR="00300534">
        <w:t>A</w:t>
      </w:r>
      <w:proofErr w:type="spellStart"/>
      <w:r w:rsidR="00300534">
        <w:rPr>
          <w:lang w:val="en-US"/>
        </w:rPr>
        <w:t>nnex</w:t>
      </w:r>
      <w:proofErr w:type="spellEnd"/>
      <w:r w:rsidR="00300534">
        <w:rPr>
          <w:lang w:val="en-US"/>
        </w:rPr>
        <w:t xml:space="preserve"> 2 to the additional comments. </w:t>
      </w:r>
    </w:p>
  </w:footnote>
  <w:footnote w:id="29">
    <w:p w14:paraId="3A84A232" w14:textId="6A78625A" w:rsidR="00300534" w:rsidRPr="00E53AD1" w:rsidRDefault="009704FD" w:rsidP="00156F84">
      <w:pPr>
        <w:pStyle w:val="FootnoteText"/>
        <w:rPr>
          <w:lang w:val="en-US"/>
        </w:rPr>
      </w:pPr>
      <w:r>
        <w:tab/>
      </w:r>
      <w:r w:rsidR="00300534">
        <w:rPr>
          <w:rStyle w:val="FootnoteReference"/>
        </w:rPr>
        <w:footnoteRef/>
      </w:r>
      <w:r w:rsidR="00300534">
        <w:tab/>
      </w:r>
      <w:r w:rsidR="00300534">
        <w:rPr>
          <w:lang w:val="en-US"/>
        </w:rPr>
        <w:t xml:space="preserve">United States Department of State: Country Report on Human Rights Practice 2017 – Bulgaria, 20 April 2018, at: </w:t>
      </w:r>
      <w:hyperlink r:id="rId4" w:history="1">
        <w:r w:rsidR="00300534" w:rsidRPr="009A062F">
          <w:rPr>
            <w:rStyle w:val="Hyperlink"/>
            <w:lang w:val="en-US"/>
          </w:rPr>
          <w:t>https://www.ecoi.net/en/document/1430270.html</w:t>
        </w:r>
      </w:hyperlink>
      <w:r w:rsidR="00300534">
        <w:rPr>
          <w:lang w:val="en-US"/>
        </w:rPr>
        <w:t xml:space="preserve">. </w:t>
      </w:r>
    </w:p>
  </w:footnote>
  <w:footnote w:id="30">
    <w:p w14:paraId="222A6707" w14:textId="69B18173" w:rsidR="00300534" w:rsidRPr="004F0305" w:rsidRDefault="009704FD">
      <w:pPr>
        <w:pStyle w:val="FootnoteText"/>
        <w:rPr>
          <w:lang w:val="en-US"/>
        </w:rPr>
      </w:pPr>
      <w:r>
        <w:tab/>
      </w:r>
      <w:r w:rsidR="00300534">
        <w:rPr>
          <w:rStyle w:val="FootnoteReference"/>
        </w:rPr>
        <w:footnoteRef/>
      </w:r>
      <w:r>
        <w:tab/>
      </w:r>
      <w:r w:rsidR="00300534">
        <w:t xml:space="preserve">Refugee and Migrant Legal Programme; Bulgarian Helsinki Committee; ECRE – European Council on Refugees and Exiles, published by ECRE – European Council on Refugees and Exiles: Country Report: Bulgaria, February 2018, at: </w:t>
      </w:r>
      <w:hyperlink r:id="rId5" w:history="1">
        <w:r w:rsidR="00300534" w:rsidRPr="009A062F">
          <w:rPr>
            <w:rStyle w:val="Hyperlink"/>
          </w:rPr>
          <w:t>http://www.asylumineurope.org/sites/default/files/report-download/aida_bg_2017update.pdf</w:t>
        </w:r>
      </w:hyperlink>
      <w:r w:rsidR="00300534">
        <w:t xml:space="preserve">. </w:t>
      </w:r>
    </w:p>
  </w:footnote>
  <w:footnote w:id="31">
    <w:p w14:paraId="0CCB0319" w14:textId="6526C2BF" w:rsidR="00300534" w:rsidRPr="00116051" w:rsidRDefault="009704FD" w:rsidP="009704FD">
      <w:pPr>
        <w:pStyle w:val="FootnoteText"/>
        <w:rPr>
          <w:lang w:val="en-US"/>
        </w:rPr>
      </w:pPr>
      <w:r>
        <w:rPr>
          <w:lang w:val="en-US"/>
        </w:rPr>
        <w:tab/>
      </w:r>
      <w:r w:rsidR="00300534">
        <w:rPr>
          <w:rStyle w:val="FootnoteReference"/>
        </w:rPr>
        <w:footnoteRef/>
      </w:r>
      <w:r>
        <w:rPr>
          <w:lang w:val="en-US"/>
        </w:rPr>
        <w:tab/>
      </w:r>
      <w:r w:rsidR="00300534">
        <w:t>Hungarian Helsinki Committee, Unidentified and Unattended: The Response of Eastern EU Member States to the Special Needs of Torture Survivor and Traumatised Asylum Seekers, May 2017, at: http://www.refworld.org/docid/59b155744.html. The report for example indicates: “</w:t>
      </w:r>
      <w:r w:rsidR="00300534" w:rsidRPr="004B278A">
        <w:rPr>
          <w:i/>
        </w:rPr>
        <w:t xml:space="preserve">In six reception centres, there is 12 medical staff, which is clearly not enough since in 2016, 14’800 asylum seekers applied for asylum in Bulgaria. The State Agency for Refugees (SAR) has only one psychologist based in Sofia who also performs other duties (currently, the psychologist is an administrative director of one of the SAR’s directorates). Two NGOs (ACET and </w:t>
      </w:r>
      <w:proofErr w:type="spellStart"/>
      <w:r w:rsidR="00300534" w:rsidRPr="004B278A">
        <w:rPr>
          <w:i/>
        </w:rPr>
        <w:t>Center</w:t>
      </w:r>
      <w:proofErr w:type="spellEnd"/>
      <w:r w:rsidR="00300534" w:rsidRPr="004B278A">
        <w:rPr>
          <w:i/>
        </w:rPr>
        <w:t xml:space="preserve"> “</w:t>
      </w:r>
      <w:proofErr w:type="spellStart"/>
      <w:r w:rsidR="00300534" w:rsidRPr="004B278A">
        <w:rPr>
          <w:i/>
        </w:rPr>
        <w:t>Nadya</w:t>
      </w:r>
      <w:proofErr w:type="spellEnd"/>
      <w:r w:rsidR="00300534" w:rsidRPr="004B278A">
        <w:rPr>
          <w:i/>
        </w:rPr>
        <w:t>”) provided mental health services, but their services are based on project funding and since 2017, ACET no longer operates. Therefore, during certain periods of time or at certain locations, there are sometimes no mental health services available or they are available for only a limited number of clients. Besides, there is no possibility, neither for asylum seekers, nor for Bulgarian citizens, to access state psychologists since psychological examinations and therapy are not covered by the National Health Insurance Fund.</w:t>
      </w:r>
      <w:r w:rsidR="00300534">
        <w:t>”</w:t>
      </w:r>
      <w:r w:rsidR="002743E7">
        <w:t xml:space="preserve"> </w:t>
      </w:r>
    </w:p>
  </w:footnote>
  <w:footnote w:id="32">
    <w:p w14:paraId="794C13AB" w14:textId="512072E5" w:rsidR="00300534" w:rsidRPr="00A07E60" w:rsidRDefault="00300534" w:rsidP="009704FD">
      <w:pPr>
        <w:pStyle w:val="FootnoteText"/>
      </w:pPr>
      <w:r>
        <w:tab/>
      </w:r>
      <w:r>
        <w:rPr>
          <w:rStyle w:val="FootnoteReference"/>
        </w:rPr>
        <w:footnoteRef/>
      </w:r>
      <w:r>
        <w:tab/>
      </w:r>
      <w:r w:rsidRPr="00A07E60">
        <w:t xml:space="preserve">See the Committee’s </w:t>
      </w:r>
      <w:r>
        <w:t>G</w:t>
      </w:r>
      <w:r w:rsidRPr="00A07E60">
        <w:t xml:space="preserve">eneral </w:t>
      </w:r>
      <w:r>
        <w:t>C</w:t>
      </w:r>
      <w:r w:rsidRPr="00A07E60">
        <w:t>omment No. 31 (2004) on the nature of the general legal obligation imposed on States parties to the Covenant, para. 12.</w:t>
      </w:r>
    </w:p>
  </w:footnote>
  <w:footnote w:id="33">
    <w:p w14:paraId="5FF8141A" w14:textId="6BF09493" w:rsidR="00300534" w:rsidRPr="00043073" w:rsidRDefault="00300534" w:rsidP="009704FD">
      <w:pPr>
        <w:pStyle w:val="FootnoteText"/>
      </w:pPr>
      <w:r>
        <w:tab/>
      </w:r>
      <w:r>
        <w:rPr>
          <w:rStyle w:val="FootnoteReference"/>
        </w:rPr>
        <w:footnoteRef/>
      </w:r>
      <w:r>
        <w:tab/>
      </w:r>
      <w:r w:rsidRPr="00043073">
        <w:t xml:space="preserve">See communications </w:t>
      </w:r>
      <w:r w:rsidRPr="00043073">
        <w:rPr>
          <w:i/>
        </w:rPr>
        <w:t xml:space="preserve">X v. Denmark </w:t>
      </w:r>
      <w:r w:rsidRPr="00043073">
        <w:t xml:space="preserve">(CCPR/C/110/D/2007/2010), para. 9.2; </w:t>
      </w:r>
      <w:r w:rsidRPr="00043073">
        <w:rPr>
          <w:i/>
        </w:rPr>
        <w:t xml:space="preserve">A.R.J. v. Australia </w:t>
      </w:r>
      <w:r w:rsidRPr="00043073">
        <w:rPr>
          <w:iCs/>
        </w:rPr>
        <w:t xml:space="preserve">(CCPR/C/60/D/692/1996), </w:t>
      </w:r>
      <w:r w:rsidRPr="00043073">
        <w:t xml:space="preserve">para. 6.6; and </w:t>
      </w:r>
      <w:r w:rsidRPr="00043073">
        <w:rPr>
          <w:i/>
        </w:rPr>
        <w:t>X v. Sweden</w:t>
      </w:r>
      <w:r w:rsidRPr="00043073">
        <w:t xml:space="preserve"> (CCPR/C/103/D/1833/2008), para. 5.18.</w:t>
      </w:r>
    </w:p>
  </w:footnote>
  <w:footnote w:id="34">
    <w:p w14:paraId="4B280D2D" w14:textId="2EC5047D" w:rsidR="00300534" w:rsidRPr="00043073" w:rsidRDefault="009704FD" w:rsidP="009704FD">
      <w:pPr>
        <w:pStyle w:val="FootnoteText"/>
      </w:pPr>
      <w:r>
        <w:tab/>
      </w:r>
      <w:r w:rsidR="00300534" w:rsidRPr="00043073">
        <w:rPr>
          <w:rStyle w:val="FootnoteReference"/>
          <w:szCs w:val="18"/>
        </w:rPr>
        <w:footnoteRef/>
      </w:r>
      <w:r w:rsidR="00300534" w:rsidRPr="00043073">
        <w:tab/>
        <w:t xml:space="preserve">See communication </w:t>
      </w:r>
      <w:r w:rsidR="00300534" w:rsidRPr="00043073">
        <w:rPr>
          <w:i/>
        </w:rPr>
        <w:t xml:space="preserve">Lin v. Australia </w:t>
      </w:r>
      <w:r w:rsidR="00300534" w:rsidRPr="00043073">
        <w:t>(CCPR/C/107/D/1957/2010), para. 9.3.</w:t>
      </w:r>
    </w:p>
  </w:footnote>
  <w:footnote w:id="35">
    <w:p w14:paraId="5A8E481E" w14:textId="339E1219" w:rsidR="00300534" w:rsidRPr="00043073" w:rsidRDefault="00300534" w:rsidP="009704FD">
      <w:pPr>
        <w:pStyle w:val="FootnoteText"/>
      </w:pPr>
      <w:r w:rsidRPr="00043073">
        <w:t xml:space="preserve"> </w:t>
      </w:r>
      <w:r w:rsidR="009704FD">
        <w:tab/>
      </w:r>
      <w:r w:rsidRPr="00043073">
        <w:rPr>
          <w:rStyle w:val="FootnoteReference"/>
          <w:szCs w:val="18"/>
        </w:rPr>
        <w:footnoteRef/>
      </w:r>
      <w:r w:rsidR="009704FD">
        <w:tab/>
      </w:r>
      <w:r w:rsidRPr="00043073">
        <w:t xml:space="preserve">See communications </w:t>
      </w:r>
      <w:r w:rsidRPr="00043073">
        <w:rPr>
          <w:i/>
        </w:rPr>
        <w:t>Y.A.A. and F.H.M. v. Denmark</w:t>
      </w:r>
      <w:r w:rsidRPr="00043073">
        <w:t xml:space="preserve"> (CCPR/C/119/D/2681/2015)</w:t>
      </w:r>
      <w:r w:rsidR="005544D4">
        <w:t xml:space="preserve">, </w:t>
      </w:r>
      <w:r w:rsidRPr="00043073">
        <w:t xml:space="preserve">para. 7.3; and No. </w:t>
      </w:r>
      <w:proofErr w:type="spellStart"/>
      <w:r w:rsidRPr="00043073">
        <w:rPr>
          <w:i/>
        </w:rPr>
        <w:t>Rezaifar</w:t>
      </w:r>
      <w:proofErr w:type="spellEnd"/>
      <w:r w:rsidRPr="00043073">
        <w:rPr>
          <w:i/>
        </w:rPr>
        <w:t xml:space="preserve"> v. Denmark</w:t>
      </w:r>
      <w:r w:rsidRPr="00043073">
        <w:t xml:space="preserve"> (CCPR/C/119/D/2512/2014), para. 8.3.</w:t>
      </w:r>
    </w:p>
  </w:footnote>
  <w:footnote w:id="36">
    <w:p w14:paraId="53C3EB08" w14:textId="4FD1DD69" w:rsidR="007A4769" w:rsidRPr="007A4769" w:rsidRDefault="009704FD" w:rsidP="009704FD">
      <w:pPr>
        <w:pStyle w:val="FootnoteText"/>
        <w:rPr>
          <w:lang w:val="en-US"/>
        </w:rPr>
      </w:pPr>
      <w:r>
        <w:tab/>
      </w:r>
      <w:r w:rsidR="007A4769">
        <w:rPr>
          <w:rStyle w:val="FootnoteReference"/>
        </w:rPr>
        <w:footnoteRef/>
      </w:r>
      <w:r>
        <w:tab/>
      </w:r>
      <w:r w:rsidR="007A4769">
        <w:rPr>
          <w:lang w:val="en-US"/>
        </w:rPr>
        <w:t xml:space="preserve">See e.g. communication </w:t>
      </w:r>
      <w:r w:rsidR="007A4769" w:rsidRPr="007A4769">
        <w:rPr>
          <w:i/>
          <w:lang w:val="en-US"/>
        </w:rPr>
        <w:t>B.M.I. and N.A.K. v. Denmark</w:t>
      </w:r>
      <w:r w:rsidR="007A4769">
        <w:rPr>
          <w:lang w:val="en-US"/>
        </w:rPr>
        <w:t xml:space="preserve"> (CCPR/C/118/D/2569/2015), para. 8.6. </w:t>
      </w:r>
    </w:p>
  </w:footnote>
  <w:footnote w:id="37">
    <w:p w14:paraId="548909AD" w14:textId="53E2C042" w:rsidR="003F0AB6" w:rsidRPr="003F0AB6" w:rsidRDefault="003F0AB6" w:rsidP="009704FD">
      <w:pPr>
        <w:pStyle w:val="FootnoteText"/>
        <w:rPr>
          <w:lang w:val="en-US"/>
        </w:rPr>
      </w:pPr>
      <w:r>
        <w:tab/>
      </w:r>
      <w:r>
        <w:rPr>
          <w:rStyle w:val="FootnoteReference"/>
        </w:rPr>
        <w:footnoteRef/>
      </w:r>
      <w:r w:rsidR="009704FD">
        <w:tab/>
      </w:r>
      <w:r>
        <w:rPr>
          <w:lang w:val="en-US"/>
        </w:rPr>
        <w:t xml:space="preserve">See e.g. </w:t>
      </w:r>
      <w:r w:rsidRPr="003F0AB6">
        <w:rPr>
          <w:i/>
          <w:lang w:val="en-US"/>
        </w:rPr>
        <w:t>P.T. v. Denmark</w:t>
      </w:r>
      <w:r>
        <w:rPr>
          <w:lang w:val="en-US"/>
        </w:rPr>
        <w:t xml:space="preserve"> (</w:t>
      </w:r>
      <w:r w:rsidR="0073564E">
        <w:rPr>
          <w:lang w:val="en-US"/>
        </w:rPr>
        <w:t>CCPR/C/113/D/</w:t>
      </w:r>
      <w:r>
        <w:rPr>
          <w:lang w:val="en-US"/>
        </w:rPr>
        <w:t>2272/2013), para. 7.4</w:t>
      </w:r>
      <w:r w:rsidR="009704F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7A9C" w14:textId="389AB450" w:rsidR="00300534" w:rsidRDefault="00813658" w:rsidP="005715D6">
    <w:pPr>
      <w:pStyle w:val="Header"/>
    </w:pPr>
    <w:r w:rsidRPr="00813658">
      <w:t>Advance unedited version</w:t>
    </w:r>
    <w:r>
      <w:t xml:space="preserve"> </w:t>
    </w:r>
    <w:r w:rsidR="00300534">
      <w:t>CCPR/C/12</w:t>
    </w:r>
    <w:r w:rsidR="005715D6">
      <w:t>5</w:t>
    </w:r>
    <w:r w:rsidR="00300534">
      <w:t>/D/2923/2016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C474" w14:textId="2204245A" w:rsidR="00300534" w:rsidRPr="00FA222B" w:rsidRDefault="00813658" w:rsidP="005715D6">
    <w:pPr>
      <w:pStyle w:val="Header"/>
      <w:jc w:val="right"/>
    </w:pPr>
    <w:r w:rsidRPr="00813658">
      <w:t>Advance unedited version</w:t>
    </w:r>
    <w:r>
      <w:t xml:space="preserve"> </w:t>
    </w:r>
    <w:r w:rsidR="00300534">
      <w:t>CCPR/C/12</w:t>
    </w:r>
    <w:r w:rsidR="005715D6">
      <w:t>5</w:t>
    </w:r>
    <w:r w:rsidR="00300534">
      <w:t>/D/2923/2016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B184A"/>
    <w:multiLevelType w:val="multilevel"/>
    <w:tmpl w:val="0F045DDE"/>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36907AFA"/>
    <w:multiLevelType w:val="hybridMultilevel"/>
    <w:tmpl w:val="990E4A9E"/>
    <w:lvl w:ilvl="0" w:tplc="7CF2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B66F5"/>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4BDB4B59"/>
    <w:multiLevelType w:val="multilevel"/>
    <w:tmpl w:val="C7685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DC0EDC"/>
    <w:multiLevelType w:val="multilevel"/>
    <w:tmpl w:val="701C5460"/>
    <w:lvl w:ilvl="0">
      <w:start w:val="1"/>
      <w:numFmt w:val="decimal"/>
      <w:lvlText w:val="%1"/>
      <w:lvlJc w:val="left"/>
      <w:pPr>
        <w:ind w:left="555" w:hanging="555"/>
      </w:pPr>
      <w:rPr>
        <w:rFonts w:hint="default"/>
      </w:rPr>
    </w:lvl>
    <w:lvl w:ilvl="1">
      <w:start w:val="1"/>
      <w:numFmt w:val="decimal"/>
      <w:lvlText w:val="%1.%2"/>
      <w:lvlJc w:val="left"/>
      <w:pPr>
        <w:ind w:left="197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56C913BD"/>
    <w:multiLevelType w:val="multilevel"/>
    <w:tmpl w:val="B8041F34"/>
    <w:lvl w:ilvl="0">
      <w:start w:val="1"/>
      <w:numFmt w:val="decimal"/>
      <w:lvlText w:val="%1"/>
      <w:lvlJc w:val="left"/>
      <w:pPr>
        <w:ind w:left="555" w:hanging="555"/>
      </w:pPr>
      <w:rPr>
        <w:rFonts w:hint="default"/>
      </w:rPr>
    </w:lvl>
    <w:lvl w:ilvl="1">
      <w:start w:val="1"/>
      <w:numFmt w:val="decimal"/>
      <w:lvlText w:val="%1.%2"/>
      <w:lvlJc w:val="left"/>
      <w:pPr>
        <w:ind w:left="1695" w:hanging="55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9" w15:restartNumberingAfterBreak="0">
    <w:nsid w:val="58B26BDF"/>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62A46B7D"/>
    <w:multiLevelType w:val="multilevel"/>
    <w:tmpl w:val="B6207718"/>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757F6"/>
    <w:multiLevelType w:val="multilevel"/>
    <w:tmpl w:val="8B5E2A5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11"/>
  </w:num>
  <w:num w:numId="3">
    <w:abstractNumId w:val="0"/>
  </w:num>
  <w:num w:numId="4">
    <w:abstractNumId w:val="2"/>
  </w:num>
  <w:num w:numId="5">
    <w:abstractNumId w:val="9"/>
  </w:num>
  <w:num w:numId="6">
    <w:abstractNumId w:val="5"/>
  </w:num>
  <w:num w:numId="7">
    <w:abstractNumId w:val="10"/>
  </w:num>
  <w:num w:numId="8">
    <w:abstractNumId w:val="6"/>
  </w:num>
  <w:num w:numId="9">
    <w:abstractNumId w:val="12"/>
  </w:num>
  <w:num w:numId="10">
    <w:abstractNumId w:val="3"/>
  </w:num>
  <w:num w:numId="11">
    <w:abstractNumId w:val="4"/>
  </w:num>
  <w:num w:numId="12">
    <w:abstractNumId w:val="7"/>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C"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2B"/>
    <w:rsid w:val="00000BDC"/>
    <w:rsid w:val="00000F65"/>
    <w:rsid w:val="00001626"/>
    <w:rsid w:val="0000162B"/>
    <w:rsid w:val="00001E09"/>
    <w:rsid w:val="0000352E"/>
    <w:rsid w:val="000035B3"/>
    <w:rsid w:val="0000397B"/>
    <w:rsid w:val="000043B2"/>
    <w:rsid w:val="0000507A"/>
    <w:rsid w:val="00006F44"/>
    <w:rsid w:val="00010774"/>
    <w:rsid w:val="00010DF9"/>
    <w:rsid w:val="00011D19"/>
    <w:rsid w:val="00011EC1"/>
    <w:rsid w:val="000139FB"/>
    <w:rsid w:val="00013EF9"/>
    <w:rsid w:val="00014BC3"/>
    <w:rsid w:val="0001542D"/>
    <w:rsid w:val="00015F92"/>
    <w:rsid w:val="00016829"/>
    <w:rsid w:val="00016DC1"/>
    <w:rsid w:val="00017735"/>
    <w:rsid w:val="00017909"/>
    <w:rsid w:val="00017DED"/>
    <w:rsid w:val="0002028A"/>
    <w:rsid w:val="00020C2D"/>
    <w:rsid w:val="00020CC9"/>
    <w:rsid w:val="000214E0"/>
    <w:rsid w:val="00021715"/>
    <w:rsid w:val="00024490"/>
    <w:rsid w:val="00024855"/>
    <w:rsid w:val="000249D8"/>
    <w:rsid w:val="00024C4A"/>
    <w:rsid w:val="0002548C"/>
    <w:rsid w:val="000272B3"/>
    <w:rsid w:val="000277F6"/>
    <w:rsid w:val="0003071D"/>
    <w:rsid w:val="00030EE8"/>
    <w:rsid w:val="00031352"/>
    <w:rsid w:val="00031D98"/>
    <w:rsid w:val="00032594"/>
    <w:rsid w:val="000328FD"/>
    <w:rsid w:val="00032D0D"/>
    <w:rsid w:val="00034228"/>
    <w:rsid w:val="000342EB"/>
    <w:rsid w:val="00034624"/>
    <w:rsid w:val="00034D27"/>
    <w:rsid w:val="0003574B"/>
    <w:rsid w:val="00036205"/>
    <w:rsid w:val="00036BBC"/>
    <w:rsid w:val="000375EE"/>
    <w:rsid w:val="00037640"/>
    <w:rsid w:val="0003768A"/>
    <w:rsid w:val="00037DC6"/>
    <w:rsid w:val="00042141"/>
    <w:rsid w:val="00043073"/>
    <w:rsid w:val="00043D67"/>
    <w:rsid w:val="00044784"/>
    <w:rsid w:val="00044935"/>
    <w:rsid w:val="0004592C"/>
    <w:rsid w:val="00046296"/>
    <w:rsid w:val="00046398"/>
    <w:rsid w:val="00047AEE"/>
    <w:rsid w:val="00047E16"/>
    <w:rsid w:val="00047EE5"/>
    <w:rsid w:val="00050F6B"/>
    <w:rsid w:val="000523F6"/>
    <w:rsid w:val="00053073"/>
    <w:rsid w:val="00053730"/>
    <w:rsid w:val="00053BD0"/>
    <w:rsid w:val="00054A53"/>
    <w:rsid w:val="00054BEC"/>
    <w:rsid w:val="00054F8D"/>
    <w:rsid w:val="00055E37"/>
    <w:rsid w:val="0005679F"/>
    <w:rsid w:val="00057C28"/>
    <w:rsid w:val="00057E97"/>
    <w:rsid w:val="0006071C"/>
    <w:rsid w:val="00060C3A"/>
    <w:rsid w:val="00061DE4"/>
    <w:rsid w:val="00063681"/>
    <w:rsid w:val="0006373F"/>
    <w:rsid w:val="00063870"/>
    <w:rsid w:val="00066A9E"/>
    <w:rsid w:val="00066D5B"/>
    <w:rsid w:val="00066DC9"/>
    <w:rsid w:val="00066E1F"/>
    <w:rsid w:val="00066FBC"/>
    <w:rsid w:val="00067395"/>
    <w:rsid w:val="000674BD"/>
    <w:rsid w:val="000676B4"/>
    <w:rsid w:val="00067CD0"/>
    <w:rsid w:val="0007095A"/>
    <w:rsid w:val="000725BA"/>
    <w:rsid w:val="0007296C"/>
    <w:rsid w:val="00072C8C"/>
    <w:rsid w:val="00072D48"/>
    <w:rsid w:val="000733B5"/>
    <w:rsid w:val="000734DD"/>
    <w:rsid w:val="00073A4A"/>
    <w:rsid w:val="000741F4"/>
    <w:rsid w:val="000745F3"/>
    <w:rsid w:val="00074883"/>
    <w:rsid w:val="00074E4B"/>
    <w:rsid w:val="0007569B"/>
    <w:rsid w:val="00076B7E"/>
    <w:rsid w:val="0007797F"/>
    <w:rsid w:val="000815C8"/>
    <w:rsid w:val="00081815"/>
    <w:rsid w:val="0008420D"/>
    <w:rsid w:val="00084F0C"/>
    <w:rsid w:val="0008728B"/>
    <w:rsid w:val="00087EBF"/>
    <w:rsid w:val="000909E3"/>
    <w:rsid w:val="00090E3B"/>
    <w:rsid w:val="00092D27"/>
    <w:rsid w:val="000931C0"/>
    <w:rsid w:val="00094460"/>
    <w:rsid w:val="00095349"/>
    <w:rsid w:val="00095375"/>
    <w:rsid w:val="000955F2"/>
    <w:rsid w:val="00095A07"/>
    <w:rsid w:val="00096C39"/>
    <w:rsid w:val="00097094"/>
    <w:rsid w:val="000971FC"/>
    <w:rsid w:val="0009760C"/>
    <w:rsid w:val="000A045C"/>
    <w:rsid w:val="000A0BF4"/>
    <w:rsid w:val="000A168E"/>
    <w:rsid w:val="000A2E25"/>
    <w:rsid w:val="000A364D"/>
    <w:rsid w:val="000A3693"/>
    <w:rsid w:val="000A3F47"/>
    <w:rsid w:val="000A4734"/>
    <w:rsid w:val="000A4A64"/>
    <w:rsid w:val="000A5164"/>
    <w:rsid w:val="000A6549"/>
    <w:rsid w:val="000A7368"/>
    <w:rsid w:val="000A7665"/>
    <w:rsid w:val="000B175B"/>
    <w:rsid w:val="000B2113"/>
    <w:rsid w:val="000B3238"/>
    <w:rsid w:val="000B3A0F"/>
    <w:rsid w:val="000B422B"/>
    <w:rsid w:val="000B46C6"/>
    <w:rsid w:val="000B4EF7"/>
    <w:rsid w:val="000B5BFF"/>
    <w:rsid w:val="000B6857"/>
    <w:rsid w:val="000B70E0"/>
    <w:rsid w:val="000B7145"/>
    <w:rsid w:val="000B79EB"/>
    <w:rsid w:val="000B7B7D"/>
    <w:rsid w:val="000C01F5"/>
    <w:rsid w:val="000C03A9"/>
    <w:rsid w:val="000C084A"/>
    <w:rsid w:val="000C0942"/>
    <w:rsid w:val="000C1681"/>
    <w:rsid w:val="000C1689"/>
    <w:rsid w:val="000C22C8"/>
    <w:rsid w:val="000C2C03"/>
    <w:rsid w:val="000C2D2E"/>
    <w:rsid w:val="000C3821"/>
    <w:rsid w:val="000C425C"/>
    <w:rsid w:val="000C4299"/>
    <w:rsid w:val="000C4524"/>
    <w:rsid w:val="000C4B5D"/>
    <w:rsid w:val="000C4E05"/>
    <w:rsid w:val="000C4ED1"/>
    <w:rsid w:val="000C67BE"/>
    <w:rsid w:val="000C6CCA"/>
    <w:rsid w:val="000C7903"/>
    <w:rsid w:val="000C7EB8"/>
    <w:rsid w:val="000C7EDC"/>
    <w:rsid w:val="000D1381"/>
    <w:rsid w:val="000D1C68"/>
    <w:rsid w:val="000D24E9"/>
    <w:rsid w:val="000D3503"/>
    <w:rsid w:val="000D542E"/>
    <w:rsid w:val="000D5A21"/>
    <w:rsid w:val="000D684F"/>
    <w:rsid w:val="000D6CB4"/>
    <w:rsid w:val="000E0415"/>
    <w:rsid w:val="000E0EE6"/>
    <w:rsid w:val="000E16E7"/>
    <w:rsid w:val="000E19CF"/>
    <w:rsid w:val="000E207E"/>
    <w:rsid w:val="000E4724"/>
    <w:rsid w:val="000E4BF6"/>
    <w:rsid w:val="000E5144"/>
    <w:rsid w:val="000E5CDB"/>
    <w:rsid w:val="000E6A57"/>
    <w:rsid w:val="000E75E9"/>
    <w:rsid w:val="000E79CF"/>
    <w:rsid w:val="000E7FE7"/>
    <w:rsid w:val="000F0087"/>
    <w:rsid w:val="000F0685"/>
    <w:rsid w:val="000F0F45"/>
    <w:rsid w:val="000F2729"/>
    <w:rsid w:val="000F307A"/>
    <w:rsid w:val="000F330F"/>
    <w:rsid w:val="000F3672"/>
    <w:rsid w:val="000F4A19"/>
    <w:rsid w:val="000F5442"/>
    <w:rsid w:val="000F77B5"/>
    <w:rsid w:val="001002BF"/>
    <w:rsid w:val="001011B5"/>
    <w:rsid w:val="00101867"/>
    <w:rsid w:val="00101D3D"/>
    <w:rsid w:val="00101EF5"/>
    <w:rsid w:val="0010264E"/>
    <w:rsid w:val="00102D06"/>
    <w:rsid w:val="00102E46"/>
    <w:rsid w:val="0010324D"/>
    <w:rsid w:val="001052CF"/>
    <w:rsid w:val="00105EE0"/>
    <w:rsid w:val="00106A6F"/>
    <w:rsid w:val="00106DE9"/>
    <w:rsid w:val="001103AA"/>
    <w:rsid w:val="00110A64"/>
    <w:rsid w:val="0011244A"/>
    <w:rsid w:val="00112B50"/>
    <w:rsid w:val="0011319F"/>
    <w:rsid w:val="001134D2"/>
    <w:rsid w:val="00113D5A"/>
    <w:rsid w:val="00114DE2"/>
    <w:rsid w:val="0011512D"/>
    <w:rsid w:val="001151FE"/>
    <w:rsid w:val="00115243"/>
    <w:rsid w:val="0011548D"/>
    <w:rsid w:val="00116051"/>
    <w:rsid w:val="0011744C"/>
    <w:rsid w:val="00120408"/>
    <w:rsid w:val="00122146"/>
    <w:rsid w:val="001230C5"/>
    <w:rsid w:val="0012379A"/>
    <w:rsid w:val="001243C7"/>
    <w:rsid w:val="00124F8C"/>
    <w:rsid w:val="00125168"/>
    <w:rsid w:val="00125FAA"/>
    <w:rsid w:val="0012760F"/>
    <w:rsid w:val="00127743"/>
    <w:rsid w:val="00127836"/>
    <w:rsid w:val="00130AB2"/>
    <w:rsid w:val="00130E3E"/>
    <w:rsid w:val="0013232C"/>
    <w:rsid w:val="00132E0A"/>
    <w:rsid w:val="00133D46"/>
    <w:rsid w:val="0013498C"/>
    <w:rsid w:val="0013510D"/>
    <w:rsid w:val="001351E0"/>
    <w:rsid w:val="00135549"/>
    <w:rsid w:val="00136C59"/>
    <w:rsid w:val="00136F68"/>
    <w:rsid w:val="00136FEE"/>
    <w:rsid w:val="00137410"/>
    <w:rsid w:val="00137514"/>
    <w:rsid w:val="001378BC"/>
    <w:rsid w:val="001406C4"/>
    <w:rsid w:val="00141836"/>
    <w:rsid w:val="0014225C"/>
    <w:rsid w:val="00142B06"/>
    <w:rsid w:val="00143BE5"/>
    <w:rsid w:val="001455F5"/>
    <w:rsid w:val="0014609E"/>
    <w:rsid w:val="00146519"/>
    <w:rsid w:val="001466AC"/>
    <w:rsid w:val="00146BC0"/>
    <w:rsid w:val="0014758E"/>
    <w:rsid w:val="00150AC7"/>
    <w:rsid w:val="001514E4"/>
    <w:rsid w:val="00151525"/>
    <w:rsid w:val="0015213C"/>
    <w:rsid w:val="0015311A"/>
    <w:rsid w:val="00153A9D"/>
    <w:rsid w:val="00154277"/>
    <w:rsid w:val="00154ACB"/>
    <w:rsid w:val="001552D9"/>
    <w:rsid w:val="00155ABF"/>
    <w:rsid w:val="00156941"/>
    <w:rsid w:val="00156D06"/>
    <w:rsid w:val="00156E2F"/>
    <w:rsid w:val="00156F84"/>
    <w:rsid w:val="0015766D"/>
    <w:rsid w:val="00157DB4"/>
    <w:rsid w:val="0016119B"/>
    <w:rsid w:val="0016204F"/>
    <w:rsid w:val="00163091"/>
    <w:rsid w:val="00165F3A"/>
    <w:rsid w:val="00166AA8"/>
    <w:rsid w:val="001718C9"/>
    <w:rsid w:val="001719C8"/>
    <w:rsid w:val="00172881"/>
    <w:rsid w:val="001730F4"/>
    <w:rsid w:val="00175129"/>
    <w:rsid w:val="001764A6"/>
    <w:rsid w:val="001801B6"/>
    <w:rsid w:val="001807CF"/>
    <w:rsid w:val="001815AC"/>
    <w:rsid w:val="001829C4"/>
    <w:rsid w:val="00182C07"/>
    <w:rsid w:val="001837F0"/>
    <w:rsid w:val="00183968"/>
    <w:rsid w:val="001841FD"/>
    <w:rsid w:val="00184FDB"/>
    <w:rsid w:val="001852A4"/>
    <w:rsid w:val="00185420"/>
    <w:rsid w:val="0018592C"/>
    <w:rsid w:val="00186395"/>
    <w:rsid w:val="00186D5C"/>
    <w:rsid w:val="001906D0"/>
    <w:rsid w:val="00190E4A"/>
    <w:rsid w:val="00194538"/>
    <w:rsid w:val="0019475B"/>
    <w:rsid w:val="00194EA2"/>
    <w:rsid w:val="00195440"/>
    <w:rsid w:val="001954C2"/>
    <w:rsid w:val="00195602"/>
    <w:rsid w:val="001958F3"/>
    <w:rsid w:val="001962CB"/>
    <w:rsid w:val="0019638E"/>
    <w:rsid w:val="00196CCB"/>
    <w:rsid w:val="00196FB7"/>
    <w:rsid w:val="001A07E4"/>
    <w:rsid w:val="001A09B3"/>
    <w:rsid w:val="001A10D1"/>
    <w:rsid w:val="001A1672"/>
    <w:rsid w:val="001A1EE2"/>
    <w:rsid w:val="001A2757"/>
    <w:rsid w:val="001A3C9F"/>
    <w:rsid w:val="001A4EEC"/>
    <w:rsid w:val="001A50E6"/>
    <w:rsid w:val="001A5402"/>
    <w:rsid w:val="001A55F5"/>
    <w:rsid w:val="001A6686"/>
    <w:rsid w:val="001A7F36"/>
    <w:rsid w:val="001B05AC"/>
    <w:rsid w:val="001B0A4D"/>
    <w:rsid w:val="001B1268"/>
    <w:rsid w:val="001B196B"/>
    <w:rsid w:val="001B2E68"/>
    <w:rsid w:val="001B3A0C"/>
    <w:rsid w:val="001B4B04"/>
    <w:rsid w:val="001B4C82"/>
    <w:rsid w:val="001B511C"/>
    <w:rsid w:val="001B52DC"/>
    <w:rsid w:val="001B55AE"/>
    <w:rsid w:val="001B607E"/>
    <w:rsid w:val="001B6ABD"/>
    <w:rsid w:val="001B76F3"/>
    <w:rsid w:val="001C0099"/>
    <w:rsid w:val="001C1BD5"/>
    <w:rsid w:val="001C306D"/>
    <w:rsid w:val="001C40B8"/>
    <w:rsid w:val="001C4E14"/>
    <w:rsid w:val="001C5088"/>
    <w:rsid w:val="001C5993"/>
    <w:rsid w:val="001C59BD"/>
    <w:rsid w:val="001C6663"/>
    <w:rsid w:val="001C67B2"/>
    <w:rsid w:val="001C763E"/>
    <w:rsid w:val="001C7895"/>
    <w:rsid w:val="001C7EBF"/>
    <w:rsid w:val="001D08A2"/>
    <w:rsid w:val="001D0901"/>
    <w:rsid w:val="001D0C8C"/>
    <w:rsid w:val="001D1C0D"/>
    <w:rsid w:val="001D24DA"/>
    <w:rsid w:val="001D2505"/>
    <w:rsid w:val="001D26DF"/>
    <w:rsid w:val="001D2B80"/>
    <w:rsid w:val="001D2BA7"/>
    <w:rsid w:val="001D3A03"/>
    <w:rsid w:val="001D419A"/>
    <w:rsid w:val="001D47E1"/>
    <w:rsid w:val="001D4A09"/>
    <w:rsid w:val="001D4A4F"/>
    <w:rsid w:val="001D4D0A"/>
    <w:rsid w:val="001D51A0"/>
    <w:rsid w:val="001D5345"/>
    <w:rsid w:val="001D5BFA"/>
    <w:rsid w:val="001D5FF2"/>
    <w:rsid w:val="001D6116"/>
    <w:rsid w:val="001D65ED"/>
    <w:rsid w:val="001D6FB1"/>
    <w:rsid w:val="001D74C3"/>
    <w:rsid w:val="001D764C"/>
    <w:rsid w:val="001D764D"/>
    <w:rsid w:val="001E00F4"/>
    <w:rsid w:val="001E04E0"/>
    <w:rsid w:val="001E0998"/>
    <w:rsid w:val="001E10A7"/>
    <w:rsid w:val="001E1393"/>
    <w:rsid w:val="001E1D62"/>
    <w:rsid w:val="001E2AFE"/>
    <w:rsid w:val="001E3963"/>
    <w:rsid w:val="001E41D5"/>
    <w:rsid w:val="001E4778"/>
    <w:rsid w:val="001E4BEC"/>
    <w:rsid w:val="001E65B7"/>
    <w:rsid w:val="001E6E45"/>
    <w:rsid w:val="001E72FE"/>
    <w:rsid w:val="001F07D1"/>
    <w:rsid w:val="001F0C1D"/>
    <w:rsid w:val="001F1B47"/>
    <w:rsid w:val="001F23F2"/>
    <w:rsid w:val="001F3378"/>
    <w:rsid w:val="001F3890"/>
    <w:rsid w:val="001F4300"/>
    <w:rsid w:val="001F5834"/>
    <w:rsid w:val="001F6DEA"/>
    <w:rsid w:val="0020041C"/>
    <w:rsid w:val="002006DD"/>
    <w:rsid w:val="00201417"/>
    <w:rsid w:val="00202550"/>
    <w:rsid w:val="00202A91"/>
    <w:rsid w:val="00202DA8"/>
    <w:rsid w:val="00203AD8"/>
    <w:rsid w:val="00203B11"/>
    <w:rsid w:val="00203EB3"/>
    <w:rsid w:val="00204934"/>
    <w:rsid w:val="00204AEB"/>
    <w:rsid w:val="002068B5"/>
    <w:rsid w:val="00207504"/>
    <w:rsid w:val="00211E0B"/>
    <w:rsid w:val="002121DC"/>
    <w:rsid w:val="002137D6"/>
    <w:rsid w:val="00213AE6"/>
    <w:rsid w:val="002143B2"/>
    <w:rsid w:val="002145D7"/>
    <w:rsid w:val="00214651"/>
    <w:rsid w:val="00214E11"/>
    <w:rsid w:val="00215E7A"/>
    <w:rsid w:val="00217314"/>
    <w:rsid w:val="00217740"/>
    <w:rsid w:val="00220C9B"/>
    <w:rsid w:val="00221AEE"/>
    <w:rsid w:val="00221D03"/>
    <w:rsid w:val="00221FB1"/>
    <w:rsid w:val="002228CF"/>
    <w:rsid w:val="0022425D"/>
    <w:rsid w:val="002245CF"/>
    <w:rsid w:val="0022474A"/>
    <w:rsid w:val="00224FD4"/>
    <w:rsid w:val="00225E0C"/>
    <w:rsid w:val="00226242"/>
    <w:rsid w:val="00226F07"/>
    <w:rsid w:val="00227846"/>
    <w:rsid w:val="00230EBE"/>
    <w:rsid w:val="002312F5"/>
    <w:rsid w:val="0023210C"/>
    <w:rsid w:val="00232DAC"/>
    <w:rsid w:val="00233D1D"/>
    <w:rsid w:val="0023405A"/>
    <w:rsid w:val="00235BBE"/>
    <w:rsid w:val="00237310"/>
    <w:rsid w:val="002374F2"/>
    <w:rsid w:val="00237549"/>
    <w:rsid w:val="00237674"/>
    <w:rsid w:val="00242482"/>
    <w:rsid w:val="002432B0"/>
    <w:rsid w:val="002442D0"/>
    <w:rsid w:val="002452CA"/>
    <w:rsid w:val="002459AA"/>
    <w:rsid w:val="00245D1A"/>
    <w:rsid w:val="00246066"/>
    <w:rsid w:val="0024730A"/>
    <w:rsid w:val="00247551"/>
    <w:rsid w:val="00250F49"/>
    <w:rsid w:val="002529A3"/>
    <w:rsid w:val="002533E4"/>
    <w:rsid w:val="00253761"/>
    <w:rsid w:val="00254514"/>
    <w:rsid w:val="0025455E"/>
    <w:rsid w:val="00254DE7"/>
    <w:rsid w:val="00255638"/>
    <w:rsid w:val="00256377"/>
    <w:rsid w:val="00256927"/>
    <w:rsid w:val="0025735F"/>
    <w:rsid w:val="002573B0"/>
    <w:rsid w:val="00257486"/>
    <w:rsid w:val="00257DA4"/>
    <w:rsid w:val="00260887"/>
    <w:rsid w:val="002609E8"/>
    <w:rsid w:val="00261A3B"/>
    <w:rsid w:val="00262226"/>
    <w:rsid w:val="00263CDE"/>
    <w:rsid w:val="0026424D"/>
    <w:rsid w:val="002644E3"/>
    <w:rsid w:val="00265177"/>
    <w:rsid w:val="002657A5"/>
    <w:rsid w:val="00266492"/>
    <w:rsid w:val="00266DC7"/>
    <w:rsid w:val="00267F5F"/>
    <w:rsid w:val="002706FC"/>
    <w:rsid w:val="00271E8F"/>
    <w:rsid w:val="00272562"/>
    <w:rsid w:val="00272867"/>
    <w:rsid w:val="00272E2E"/>
    <w:rsid w:val="00273753"/>
    <w:rsid w:val="00273A03"/>
    <w:rsid w:val="002741C2"/>
    <w:rsid w:val="002743E7"/>
    <w:rsid w:val="002757D1"/>
    <w:rsid w:val="002757F0"/>
    <w:rsid w:val="00276168"/>
    <w:rsid w:val="00277113"/>
    <w:rsid w:val="0027794E"/>
    <w:rsid w:val="00280AA1"/>
    <w:rsid w:val="00280ADB"/>
    <w:rsid w:val="00280D31"/>
    <w:rsid w:val="00280E52"/>
    <w:rsid w:val="002810CE"/>
    <w:rsid w:val="002839CD"/>
    <w:rsid w:val="002839ED"/>
    <w:rsid w:val="00285334"/>
    <w:rsid w:val="00286181"/>
    <w:rsid w:val="00286227"/>
    <w:rsid w:val="00286B4D"/>
    <w:rsid w:val="00286D60"/>
    <w:rsid w:val="0028776F"/>
    <w:rsid w:val="00287D47"/>
    <w:rsid w:val="0029044A"/>
    <w:rsid w:val="002918A8"/>
    <w:rsid w:val="002923EA"/>
    <w:rsid w:val="00292F31"/>
    <w:rsid w:val="002930F2"/>
    <w:rsid w:val="0029336A"/>
    <w:rsid w:val="00293CB5"/>
    <w:rsid w:val="00295CE4"/>
    <w:rsid w:val="002974AA"/>
    <w:rsid w:val="00297F91"/>
    <w:rsid w:val="002A06F8"/>
    <w:rsid w:val="002A07AF"/>
    <w:rsid w:val="002A345B"/>
    <w:rsid w:val="002A3AE6"/>
    <w:rsid w:val="002A3E98"/>
    <w:rsid w:val="002A4673"/>
    <w:rsid w:val="002A4C5A"/>
    <w:rsid w:val="002A4D16"/>
    <w:rsid w:val="002A63A7"/>
    <w:rsid w:val="002A678B"/>
    <w:rsid w:val="002A6B11"/>
    <w:rsid w:val="002A7FFE"/>
    <w:rsid w:val="002B093B"/>
    <w:rsid w:val="002B25E7"/>
    <w:rsid w:val="002B2C41"/>
    <w:rsid w:val="002B413A"/>
    <w:rsid w:val="002B427C"/>
    <w:rsid w:val="002B431A"/>
    <w:rsid w:val="002B60D0"/>
    <w:rsid w:val="002B63FE"/>
    <w:rsid w:val="002B6CD0"/>
    <w:rsid w:val="002B79EA"/>
    <w:rsid w:val="002C1080"/>
    <w:rsid w:val="002C197C"/>
    <w:rsid w:val="002C1B83"/>
    <w:rsid w:val="002C1EDC"/>
    <w:rsid w:val="002C3550"/>
    <w:rsid w:val="002C35AA"/>
    <w:rsid w:val="002C3979"/>
    <w:rsid w:val="002C4183"/>
    <w:rsid w:val="002C4214"/>
    <w:rsid w:val="002C4506"/>
    <w:rsid w:val="002C54FB"/>
    <w:rsid w:val="002C5EF9"/>
    <w:rsid w:val="002C5F91"/>
    <w:rsid w:val="002C7285"/>
    <w:rsid w:val="002D0560"/>
    <w:rsid w:val="002D18FC"/>
    <w:rsid w:val="002D1F12"/>
    <w:rsid w:val="002D2827"/>
    <w:rsid w:val="002D2FAF"/>
    <w:rsid w:val="002D307D"/>
    <w:rsid w:val="002D4947"/>
    <w:rsid w:val="002D4DDB"/>
    <w:rsid w:val="002D523B"/>
    <w:rsid w:val="002D52CA"/>
    <w:rsid w:val="002D59B3"/>
    <w:rsid w:val="002E00E1"/>
    <w:rsid w:val="002E06AD"/>
    <w:rsid w:val="002E0B6F"/>
    <w:rsid w:val="002E125F"/>
    <w:rsid w:val="002E1344"/>
    <w:rsid w:val="002E16E2"/>
    <w:rsid w:val="002E1AE2"/>
    <w:rsid w:val="002E597A"/>
    <w:rsid w:val="002E5C89"/>
    <w:rsid w:val="002E67B8"/>
    <w:rsid w:val="002E73EF"/>
    <w:rsid w:val="002F175C"/>
    <w:rsid w:val="002F1856"/>
    <w:rsid w:val="002F1F9C"/>
    <w:rsid w:val="002F3AA4"/>
    <w:rsid w:val="002F414C"/>
    <w:rsid w:val="002F41FB"/>
    <w:rsid w:val="002F4AF0"/>
    <w:rsid w:val="002F4D59"/>
    <w:rsid w:val="002F50C7"/>
    <w:rsid w:val="002F5D22"/>
    <w:rsid w:val="002F7009"/>
    <w:rsid w:val="002F7B59"/>
    <w:rsid w:val="002F7B7B"/>
    <w:rsid w:val="002F7DC8"/>
    <w:rsid w:val="00300534"/>
    <w:rsid w:val="00301C87"/>
    <w:rsid w:val="00303068"/>
    <w:rsid w:val="00303CA1"/>
    <w:rsid w:val="00304F70"/>
    <w:rsid w:val="00305113"/>
    <w:rsid w:val="003058CF"/>
    <w:rsid w:val="00306F5C"/>
    <w:rsid w:val="003075B4"/>
    <w:rsid w:val="00307880"/>
    <w:rsid w:val="00311093"/>
    <w:rsid w:val="0031198A"/>
    <w:rsid w:val="0031237F"/>
    <w:rsid w:val="00312930"/>
    <w:rsid w:val="003137EC"/>
    <w:rsid w:val="00315AE9"/>
    <w:rsid w:val="0031681A"/>
    <w:rsid w:val="00316B13"/>
    <w:rsid w:val="00317025"/>
    <w:rsid w:val="00320557"/>
    <w:rsid w:val="00320772"/>
    <w:rsid w:val="00321DB2"/>
    <w:rsid w:val="0032253F"/>
    <w:rsid w:val="003229D8"/>
    <w:rsid w:val="00322AE3"/>
    <w:rsid w:val="00322D99"/>
    <w:rsid w:val="00324710"/>
    <w:rsid w:val="00324C81"/>
    <w:rsid w:val="00324FCB"/>
    <w:rsid w:val="00325003"/>
    <w:rsid w:val="003260FA"/>
    <w:rsid w:val="00326A99"/>
    <w:rsid w:val="00326F99"/>
    <w:rsid w:val="00327FB8"/>
    <w:rsid w:val="00330B5B"/>
    <w:rsid w:val="0033251B"/>
    <w:rsid w:val="0033267F"/>
    <w:rsid w:val="00332A7C"/>
    <w:rsid w:val="00332B6B"/>
    <w:rsid w:val="00332C6C"/>
    <w:rsid w:val="00333A3D"/>
    <w:rsid w:val="00333FC8"/>
    <w:rsid w:val="00334639"/>
    <w:rsid w:val="00334787"/>
    <w:rsid w:val="00335670"/>
    <w:rsid w:val="00335E2B"/>
    <w:rsid w:val="00336332"/>
    <w:rsid w:val="00337D48"/>
    <w:rsid w:val="00337DB5"/>
    <w:rsid w:val="0034194D"/>
    <w:rsid w:val="003419F1"/>
    <w:rsid w:val="00341CC4"/>
    <w:rsid w:val="0034269D"/>
    <w:rsid w:val="0034353D"/>
    <w:rsid w:val="00343B6C"/>
    <w:rsid w:val="00343F7C"/>
    <w:rsid w:val="003449E4"/>
    <w:rsid w:val="00344D06"/>
    <w:rsid w:val="00345FAB"/>
    <w:rsid w:val="00347120"/>
    <w:rsid w:val="00347139"/>
    <w:rsid w:val="0035041D"/>
    <w:rsid w:val="003505EA"/>
    <w:rsid w:val="00352709"/>
    <w:rsid w:val="00352895"/>
    <w:rsid w:val="00352BAB"/>
    <w:rsid w:val="003534D6"/>
    <w:rsid w:val="00353549"/>
    <w:rsid w:val="00353BBF"/>
    <w:rsid w:val="00353F2B"/>
    <w:rsid w:val="003548CE"/>
    <w:rsid w:val="0035598F"/>
    <w:rsid w:val="003560B6"/>
    <w:rsid w:val="0035728A"/>
    <w:rsid w:val="00357FDF"/>
    <w:rsid w:val="003607E3"/>
    <w:rsid w:val="00360D81"/>
    <w:rsid w:val="00361253"/>
    <w:rsid w:val="0036218B"/>
    <w:rsid w:val="00363AA1"/>
    <w:rsid w:val="00363B5A"/>
    <w:rsid w:val="00363EDB"/>
    <w:rsid w:val="0036493A"/>
    <w:rsid w:val="00364996"/>
    <w:rsid w:val="003664A9"/>
    <w:rsid w:val="003668AF"/>
    <w:rsid w:val="00367567"/>
    <w:rsid w:val="00367989"/>
    <w:rsid w:val="003708D3"/>
    <w:rsid w:val="00370B9C"/>
    <w:rsid w:val="00371178"/>
    <w:rsid w:val="0037149B"/>
    <w:rsid w:val="00371EA2"/>
    <w:rsid w:val="00373C16"/>
    <w:rsid w:val="00374053"/>
    <w:rsid w:val="00374135"/>
    <w:rsid w:val="003744BF"/>
    <w:rsid w:val="0037453E"/>
    <w:rsid w:val="00374D19"/>
    <w:rsid w:val="00375060"/>
    <w:rsid w:val="003768D9"/>
    <w:rsid w:val="003774D4"/>
    <w:rsid w:val="00381614"/>
    <w:rsid w:val="0038167F"/>
    <w:rsid w:val="00381BC6"/>
    <w:rsid w:val="00381D89"/>
    <w:rsid w:val="00381EC1"/>
    <w:rsid w:val="0038238A"/>
    <w:rsid w:val="0038336C"/>
    <w:rsid w:val="00384252"/>
    <w:rsid w:val="003846B3"/>
    <w:rsid w:val="00384BB2"/>
    <w:rsid w:val="00384F35"/>
    <w:rsid w:val="003857E7"/>
    <w:rsid w:val="003858AD"/>
    <w:rsid w:val="003861A1"/>
    <w:rsid w:val="00386D23"/>
    <w:rsid w:val="00391BFB"/>
    <w:rsid w:val="00393E1C"/>
    <w:rsid w:val="00393E90"/>
    <w:rsid w:val="003942D9"/>
    <w:rsid w:val="003947FB"/>
    <w:rsid w:val="00394C0B"/>
    <w:rsid w:val="00396D24"/>
    <w:rsid w:val="00397013"/>
    <w:rsid w:val="00397941"/>
    <w:rsid w:val="00397C8E"/>
    <w:rsid w:val="003A1DA7"/>
    <w:rsid w:val="003A24A0"/>
    <w:rsid w:val="003A293B"/>
    <w:rsid w:val="003A2AF4"/>
    <w:rsid w:val="003A53F2"/>
    <w:rsid w:val="003A6810"/>
    <w:rsid w:val="003A6CA3"/>
    <w:rsid w:val="003A70EA"/>
    <w:rsid w:val="003A7509"/>
    <w:rsid w:val="003B0090"/>
    <w:rsid w:val="003B2B9A"/>
    <w:rsid w:val="003B38A5"/>
    <w:rsid w:val="003B4767"/>
    <w:rsid w:val="003B4874"/>
    <w:rsid w:val="003B5EB8"/>
    <w:rsid w:val="003B790B"/>
    <w:rsid w:val="003C03B9"/>
    <w:rsid w:val="003C0773"/>
    <w:rsid w:val="003C0BF6"/>
    <w:rsid w:val="003C1482"/>
    <w:rsid w:val="003C1628"/>
    <w:rsid w:val="003C2CC4"/>
    <w:rsid w:val="003C2DB9"/>
    <w:rsid w:val="003C2FFC"/>
    <w:rsid w:val="003C3458"/>
    <w:rsid w:val="003C3542"/>
    <w:rsid w:val="003C3823"/>
    <w:rsid w:val="003C3B59"/>
    <w:rsid w:val="003C3E47"/>
    <w:rsid w:val="003C3EA9"/>
    <w:rsid w:val="003C3F44"/>
    <w:rsid w:val="003C4385"/>
    <w:rsid w:val="003C529F"/>
    <w:rsid w:val="003C5F8D"/>
    <w:rsid w:val="003C6509"/>
    <w:rsid w:val="003C6761"/>
    <w:rsid w:val="003C7BB2"/>
    <w:rsid w:val="003C7D11"/>
    <w:rsid w:val="003D015C"/>
    <w:rsid w:val="003D1F32"/>
    <w:rsid w:val="003D3B42"/>
    <w:rsid w:val="003D3DB4"/>
    <w:rsid w:val="003D451F"/>
    <w:rsid w:val="003D4B23"/>
    <w:rsid w:val="003D4C48"/>
    <w:rsid w:val="003D5C48"/>
    <w:rsid w:val="003D5CDA"/>
    <w:rsid w:val="003D6279"/>
    <w:rsid w:val="003D7169"/>
    <w:rsid w:val="003D790F"/>
    <w:rsid w:val="003E0590"/>
    <w:rsid w:val="003E2E14"/>
    <w:rsid w:val="003E4392"/>
    <w:rsid w:val="003E4480"/>
    <w:rsid w:val="003E4751"/>
    <w:rsid w:val="003E4E11"/>
    <w:rsid w:val="003E59F4"/>
    <w:rsid w:val="003E5BF3"/>
    <w:rsid w:val="003E6323"/>
    <w:rsid w:val="003E69A6"/>
    <w:rsid w:val="003E6B62"/>
    <w:rsid w:val="003E7327"/>
    <w:rsid w:val="003E77A8"/>
    <w:rsid w:val="003E7AAB"/>
    <w:rsid w:val="003E7AF7"/>
    <w:rsid w:val="003F0312"/>
    <w:rsid w:val="003F0AB6"/>
    <w:rsid w:val="003F0C75"/>
    <w:rsid w:val="003F1EE0"/>
    <w:rsid w:val="003F29A4"/>
    <w:rsid w:val="003F37AD"/>
    <w:rsid w:val="003F3B71"/>
    <w:rsid w:val="003F44BC"/>
    <w:rsid w:val="003F6E58"/>
    <w:rsid w:val="003F72DA"/>
    <w:rsid w:val="003F78D1"/>
    <w:rsid w:val="0040053E"/>
    <w:rsid w:val="00400591"/>
    <w:rsid w:val="00400780"/>
    <w:rsid w:val="00400C01"/>
    <w:rsid w:val="00400EEA"/>
    <w:rsid w:val="004014E3"/>
    <w:rsid w:val="00401846"/>
    <w:rsid w:val="00401E47"/>
    <w:rsid w:val="004029A1"/>
    <w:rsid w:val="00402D19"/>
    <w:rsid w:val="00403345"/>
    <w:rsid w:val="00403D10"/>
    <w:rsid w:val="00403D26"/>
    <w:rsid w:val="00404CB1"/>
    <w:rsid w:val="0040519D"/>
    <w:rsid w:val="004053CA"/>
    <w:rsid w:val="00405AA4"/>
    <w:rsid w:val="00406524"/>
    <w:rsid w:val="004066C8"/>
    <w:rsid w:val="004067C6"/>
    <w:rsid w:val="00407188"/>
    <w:rsid w:val="00407919"/>
    <w:rsid w:val="004109E4"/>
    <w:rsid w:val="00410C89"/>
    <w:rsid w:val="00410E5D"/>
    <w:rsid w:val="004114A9"/>
    <w:rsid w:val="0041165D"/>
    <w:rsid w:val="00411F56"/>
    <w:rsid w:val="0041202D"/>
    <w:rsid w:val="004121AC"/>
    <w:rsid w:val="0041287A"/>
    <w:rsid w:val="00412EB9"/>
    <w:rsid w:val="004144F1"/>
    <w:rsid w:val="00416063"/>
    <w:rsid w:val="004162B7"/>
    <w:rsid w:val="00416525"/>
    <w:rsid w:val="00416546"/>
    <w:rsid w:val="0041657E"/>
    <w:rsid w:val="0041695D"/>
    <w:rsid w:val="00417328"/>
    <w:rsid w:val="0041744A"/>
    <w:rsid w:val="00417E13"/>
    <w:rsid w:val="00420893"/>
    <w:rsid w:val="004208B2"/>
    <w:rsid w:val="00420C55"/>
    <w:rsid w:val="0042203C"/>
    <w:rsid w:val="00422AEA"/>
    <w:rsid w:val="004239AC"/>
    <w:rsid w:val="00423F79"/>
    <w:rsid w:val="00424005"/>
    <w:rsid w:val="00424189"/>
    <w:rsid w:val="00424465"/>
    <w:rsid w:val="004245AF"/>
    <w:rsid w:val="00425EB3"/>
    <w:rsid w:val="0042600A"/>
    <w:rsid w:val="0042614B"/>
    <w:rsid w:val="00426286"/>
    <w:rsid w:val="0042663C"/>
    <w:rsid w:val="00426B9B"/>
    <w:rsid w:val="00426F92"/>
    <w:rsid w:val="00427C8A"/>
    <w:rsid w:val="0043020A"/>
    <w:rsid w:val="00430235"/>
    <w:rsid w:val="0043044A"/>
    <w:rsid w:val="004306BC"/>
    <w:rsid w:val="00431AD4"/>
    <w:rsid w:val="00432320"/>
    <w:rsid w:val="004325CB"/>
    <w:rsid w:val="0043268C"/>
    <w:rsid w:val="004328A1"/>
    <w:rsid w:val="004329AB"/>
    <w:rsid w:val="00432FCB"/>
    <w:rsid w:val="004338A4"/>
    <w:rsid w:val="00433DCB"/>
    <w:rsid w:val="0043571F"/>
    <w:rsid w:val="00435DC5"/>
    <w:rsid w:val="00436B33"/>
    <w:rsid w:val="00436DBA"/>
    <w:rsid w:val="004376CB"/>
    <w:rsid w:val="004412A2"/>
    <w:rsid w:val="00442A83"/>
    <w:rsid w:val="0044385A"/>
    <w:rsid w:val="00443FF2"/>
    <w:rsid w:val="004444C8"/>
    <w:rsid w:val="00445CE1"/>
    <w:rsid w:val="00445F26"/>
    <w:rsid w:val="00446801"/>
    <w:rsid w:val="00446A67"/>
    <w:rsid w:val="00450A6D"/>
    <w:rsid w:val="004510DF"/>
    <w:rsid w:val="00451105"/>
    <w:rsid w:val="00452282"/>
    <w:rsid w:val="004528F0"/>
    <w:rsid w:val="0045495B"/>
    <w:rsid w:val="00454A56"/>
    <w:rsid w:val="00454E9C"/>
    <w:rsid w:val="004553C0"/>
    <w:rsid w:val="0045587F"/>
    <w:rsid w:val="00455892"/>
    <w:rsid w:val="00455C72"/>
    <w:rsid w:val="0045644D"/>
    <w:rsid w:val="00456DA4"/>
    <w:rsid w:val="0045776A"/>
    <w:rsid w:val="00461669"/>
    <w:rsid w:val="004635E7"/>
    <w:rsid w:val="004649BE"/>
    <w:rsid w:val="00465608"/>
    <w:rsid w:val="0046759B"/>
    <w:rsid w:val="004710A0"/>
    <w:rsid w:val="0047116F"/>
    <w:rsid w:val="00471241"/>
    <w:rsid w:val="004713D0"/>
    <w:rsid w:val="0047148C"/>
    <w:rsid w:val="004721F5"/>
    <w:rsid w:val="0047296B"/>
    <w:rsid w:val="00472FA3"/>
    <w:rsid w:val="00473871"/>
    <w:rsid w:val="004749D9"/>
    <w:rsid w:val="00474A32"/>
    <w:rsid w:val="00475037"/>
    <w:rsid w:val="00475EE5"/>
    <w:rsid w:val="00475FFE"/>
    <w:rsid w:val="00476E5F"/>
    <w:rsid w:val="0047707C"/>
    <w:rsid w:val="00480624"/>
    <w:rsid w:val="00480695"/>
    <w:rsid w:val="0048088F"/>
    <w:rsid w:val="004826DE"/>
    <w:rsid w:val="00483648"/>
    <w:rsid w:val="00484B27"/>
    <w:rsid w:val="00485D40"/>
    <w:rsid w:val="00487488"/>
    <w:rsid w:val="00487938"/>
    <w:rsid w:val="0048795B"/>
    <w:rsid w:val="00487D88"/>
    <w:rsid w:val="0049024E"/>
    <w:rsid w:val="0049047F"/>
    <w:rsid w:val="00490B36"/>
    <w:rsid w:val="00491F28"/>
    <w:rsid w:val="0049297D"/>
    <w:rsid w:val="00493AA3"/>
    <w:rsid w:val="00494C15"/>
    <w:rsid w:val="00496199"/>
    <w:rsid w:val="0049685C"/>
    <w:rsid w:val="0049687F"/>
    <w:rsid w:val="00497838"/>
    <w:rsid w:val="004979E0"/>
    <w:rsid w:val="004A109D"/>
    <w:rsid w:val="004A1271"/>
    <w:rsid w:val="004A1560"/>
    <w:rsid w:val="004A39CE"/>
    <w:rsid w:val="004A4EFE"/>
    <w:rsid w:val="004A7D05"/>
    <w:rsid w:val="004B01C6"/>
    <w:rsid w:val="004B1AAB"/>
    <w:rsid w:val="004B278A"/>
    <w:rsid w:val="004B3B86"/>
    <w:rsid w:val="004B4F4B"/>
    <w:rsid w:val="004B6580"/>
    <w:rsid w:val="004B6F46"/>
    <w:rsid w:val="004C0485"/>
    <w:rsid w:val="004C1458"/>
    <w:rsid w:val="004C14DF"/>
    <w:rsid w:val="004C1DCC"/>
    <w:rsid w:val="004C2319"/>
    <w:rsid w:val="004C35F2"/>
    <w:rsid w:val="004C395B"/>
    <w:rsid w:val="004C6119"/>
    <w:rsid w:val="004C6155"/>
    <w:rsid w:val="004D20BA"/>
    <w:rsid w:val="004D3D64"/>
    <w:rsid w:val="004D5ACF"/>
    <w:rsid w:val="004D5E1E"/>
    <w:rsid w:val="004D68DB"/>
    <w:rsid w:val="004D78CA"/>
    <w:rsid w:val="004D7ACB"/>
    <w:rsid w:val="004E0101"/>
    <w:rsid w:val="004E0AE2"/>
    <w:rsid w:val="004E0C7C"/>
    <w:rsid w:val="004E179F"/>
    <w:rsid w:val="004E1EDC"/>
    <w:rsid w:val="004E2370"/>
    <w:rsid w:val="004E2426"/>
    <w:rsid w:val="004E258F"/>
    <w:rsid w:val="004E491F"/>
    <w:rsid w:val="004E505E"/>
    <w:rsid w:val="004E5BAF"/>
    <w:rsid w:val="004E6024"/>
    <w:rsid w:val="004E6957"/>
    <w:rsid w:val="004E7107"/>
    <w:rsid w:val="004E76DF"/>
    <w:rsid w:val="004F0305"/>
    <w:rsid w:val="004F095A"/>
    <w:rsid w:val="004F0C77"/>
    <w:rsid w:val="004F1D8F"/>
    <w:rsid w:val="004F2A3D"/>
    <w:rsid w:val="004F567A"/>
    <w:rsid w:val="004F5D72"/>
    <w:rsid w:val="004F607A"/>
    <w:rsid w:val="004F61CC"/>
    <w:rsid w:val="004F641C"/>
    <w:rsid w:val="004F6F09"/>
    <w:rsid w:val="004F77B0"/>
    <w:rsid w:val="005021B6"/>
    <w:rsid w:val="00502719"/>
    <w:rsid w:val="00504C2F"/>
    <w:rsid w:val="005051F1"/>
    <w:rsid w:val="00505FAF"/>
    <w:rsid w:val="00506A88"/>
    <w:rsid w:val="00506B2C"/>
    <w:rsid w:val="00510223"/>
    <w:rsid w:val="00513706"/>
    <w:rsid w:val="005148E1"/>
    <w:rsid w:val="0051595F"/>
    <w:rsid w:val="00515A52"/>
    <w:rsid w:val="005167BE"/>
    <w:rsid w:val="0051751C"/>
    <w:rsid w:val="005179C2"/>
    <w:rsid w:val="0052136D"/>
    <w:rsid w:val="00522AB2"/>
    <w:rsid w:val="00523116"/>
    <w:rsid w:val="005245DB"/>
    <w:rsid w:val="00524B2F"/>
    <w:rsid w:val="00527666"/>
    <w:rsid w:val="0052775E"/>
    <w:rsid w:val="00530DA6"/>
    <w:rsid w:val="005315AF"/>
    <w:rsid w:val="00531A48"/>
    <w:rsid w:val="005324BC"/>
    <w:rsid w:val="0053274F"/>
    <w:rsid w:val="0053337C"/>
    <w:rsid w:val="005334A9"/>
    <w:rsid w:val="00533531"/>
    <w:rsid w:val="00533FF5"/>
    <w:rsid w:val="005341C5"/>
    <w:rsid w:val="0053487C"/>
    <w:rsid w:val="005352E9"/>
    <w:rsid w:val="00535637"/>
    <w:rsid w:val="005356BB"/>
    <w:rsid w:val="0053590F"/>
    <w:rsid w:val="005371B0"/>
    <w:rsid w:val="00537C4C"/>
    <w:rsid w:val="00537E56"/>
    <w:rsid w:val="0054116A"/>
    <w:rsid w:val="005415AD"/>
    <w:rsid w:val="005420F2"/>
    <w:rsid w:val="005421A6"/>
    <w:rsid w:val="00543286"/>
    <w:rsid w:val="0054341E"/>
    <w:rsid w:val="005441D2"/>
    <w:rsid w:val="00545735"/>
    <w:rsid w:val="00546068"/>
    <w:rsid w:val="00546530"/>
    <w:rsid w:val="005465E8"/>
    <w:rsid w:val="00547A18"/>
    <w:rsid w:val="00550028"/>
    <w:rsid w:val="00550A8B"/>
    <w:rsid w:val="00551385"/>
    <w:rsid w:val="00551EBC"/>
    <w:rsid w:val="0055226F"/>
    <w:rsid w:val="005522A8"/>
    <w:rsid w:val="00552C15"/>
    <w:rsid w:val="00552F53"/>
    <w:rsid w:val="0055343C"/>
    <w:rsid w:val="00553869"/>
    <w:rsid w:val="005544D4"/>
    <w:rsid w:val="0055575C"/>
    <w:rsid w:val="00555F42"/>
    <w:rsid w:val="00556481"/>
    <w:rsid w:val="00556F72"/>
    <w:rsid w:val="00557507"/>
    <w:rsid w:val="005616EE"/>
    <w:rsid w:val="00561C5A"/>
    <w:rsid w:val="005628B6"/>
    <w:rsid w:val="005628F8"/>
    <w:rsid w:val="00563160"/>
    <w:rsid w:val="00564384"/>
    <w:rsid w:val="00564485"/>
    <w:rsid w:val="00565019"/>
    <w:rsid w:val="0056562E"/>
    <w:rsid w:val="005656CE"/>
    <w:rsid w:val="00566B08"/>
    <w:rsid w:val="00566EA0"/>
    <w:rsid w:val="0056705C"/>
    <w:rsid w:val="0056718F"/>
    <w:rsid w:val="005675F1"/>
    <w:rsid w:val="005679B4"/>
    <w:rsid w:val="00567D69"/>
    <w:rsid w:val="005715D6"/>
    <w:rsid w:val="00571E0A"/>
    <w:rsid w:val="00572ABD"/>
    <w:rsid w:val="00572ABF"/>
    <w:rsid w:val="005731C3"/>
    <w:rsid w:val="00573D03"/>
    <w:rsid w:val="00574975"/>
    <w:rsid w:val="00575E4E"/>
    <w:rsid w:val="00576142"/>
    <w:rsid w:val="00577A39"/>
    <w:rsid w:val="00577E1E"/>
    <w:rsid w:val="00581274"/>
    <w:rsid w:val="00581AD7"/>
    <w:rsid w:val="00581ADB"/>
    <w:rsid w:val="005825BD"/>
    <w:rsid w:val="005831C3"/>
    <w:rsid w:val="005832AE"/>
    <w:rsid w:val="00583967"/>
    <w:rsid w:val="00583CF5"/>
    <w:rsid w:val="0058458B"/>
    <w:rsid w:val="005848B3"/>
    <w:rsid w:val="005851A6"/>
    <w:rsid w:val="00585619"/>
    <w:rsid w:val="00586045"/>
    <w:rsid w:val="00586C74"/>
    <w:rsid w:val="005901A4"/>
    <w:rsid w:val="005901AD"/>
    <w:rsid w:val="00590701"/>
    <w:rsid w:val="00590992"/>
    <w:rsid w:val="00590CD9"/>
    <w:rsid w:val="00590F87"/>
    <w:rsid w:val="00591776"/>
    <w:rsid w:val="00591972"/>
    <w:rsid w:val="0059296A"/>
    <w:rsid w:val="00592C4A"/>
    <w:rsid w:val="005932B6"/>
    <w:rsid w:val="0059345F"/>
    <w:rsid w:val="0059356C"/>
    <w:rsid w:val="00593799"/>
    <w:rsid w:val="005949A4"/>
    <w:rsid w:val="00594CC8"/>
    <w:rsid w:val="005A0BD1"/>
    <w:rsid w:val="005A16B2"/>
    <w:rsid w:val="005A1E88"/>
    <w:rsid w:val="005A2121"/>
    <w:rsid w:val="005A48B9"/>
    <w:rsid w:val="005B0656"/>
    <w:rsid w:val="005B191C"/>
    <w:rsid w:val="005B2392"/>
    <w:rsid w:val="005B2888"/>
    <w:rsid w:val="005B2969"/>
    <w:rsid w:val="005B3098"/>
    <w:rsid w:val="005B3DB3"/>
    <w:rsid w:val="005B4C4B"/>
    <w:rsid w:val="005B5070"/>
    <w:rsid w:val="005B57AA"/>
    <w:rsid w:val="005B62F3"/>
    <w:rsid w:val="005B679A"/>
    <w:rsid w:val="005B6C15"/>
    <w:rsid w:val="005B769B"/>
    <w:rsid w:val="005B7B0A"/>
    <w:rsid w:val="005C0328"/>
    <w:rsid w:val="005C0626"/>
    <w:rsid w:val="005C072D"/>
    <w:rsid w:val="005C09B8"/>
    <w:rsid w:val="005C35FF"/>
    <w:rsid w:val="005C58A6"/>
    <w:rsid w:val="005C6990"/>
    <w:rsid w:val="005C7D2A"/>
    <w:rsid w:val="005D092B"/>
    <w:rsid w:val="005D0E65"/>
    <w:rsid w:val="005D1FA4"/>
    <w:rsid w:val="005D262C"/>
    <w:rsid w:val="005D2B5E"/>
    <w:rsid w:val="005D4026"/>
    <w:rsid w:val="005D4BDC"/>
    <w:rsid w:val="005D522F"/>
    <w:rsid w:val="005D62DF"/>
    <w:rsid w:val="005D64EC"/>
    <w:rsid w:val="005D6755"/>
    <w:rsid w:val="005D6B20"/>
    <w:rsid w:val="005D6E25"/>
    <w:rsid w:val="005D6EFE"/>
    <w:rsid w:val="005D6FA0"/>
    <w:rsid w:val="005D719C"/>
    <w:rsid w:val="005D7252"/>
    <w:rsid w:val="005E03A3"/>
    <w:rsid w:val="005E07B8"/>
    <w:rsid w:val="005E084C"/>
    <w:rsid w:val="005E1EB0"/>
    <w:rsid w:val="005E4AEB"/>
    <w:rsid w:val="005E54D3"/>
    <w:rsid w:val="005E5FFD"/>
    <w:rsid w:val="005E63EA"/>
    <w:rsid w:val="005E681C"/>
    <w:rsid w:val="005E6EAF"/>
    <w:rsid w:val="005F0328"/>
    <w:rsid w:val="005F068C"/>
    <w:rsid w:val="005F12D8"/>
    <w:rsid w:val="005F1EFF"/>
    <w:rsid w:val="005F233F"/>
    <w:rsid w:val="005F27E0"/>
    <w:rsid w:val="005F4871"/>
    <w:rsid w:val="005F490D"/>
    <w:rsid w:val="005F4BE6"/>
    <w:rsid w:val="005F5B63"/>
    <w:rsid w:val="005F69A4"/>
    <w:rsid w:val="005F6C59"/>
    <w:rsid w:val="005F7717"/>
    <w:rsid w:val="005F7B75"/>
    <w:rsid w:val="0060012C"/>
    <w:rsid w:val="006001C2"/>
    <w:rsid w:val="006001EE"/>
    <w:rsid w:val="006002D9"/>
    <w:rsid w:val="006009DB"/>
    <w:rsid w:val="00600AAA"/>
    <w:rsid w:val="00600FC5"/>
    <w:rsid w:val="006015FF"/>
    <w:rsid w:val="00602EF1"/>
    <w:rsid w:val="00603AA0"/>
    <w:rsid w:val="00605042"/>
    <w:rsid w:val="006056A0"/>
    <w:rsid w:val="00605710"/>
    <w:rsid w:val="00605AC2"/>
    <w:rsid w:val="006073B3"/>
    <w:rsid w:val="00607740"/>
    <w:rsid w:val="006108EB"/>
    <w:rsid w:val="00611606"/>
    <w:rsid w:val="006118F3"/>
    <w:rsid w:val="00611FC4"/>
    <w:rsid w:val="00612A05"/>
    <w:rsid w:val="00612DC1"/>
    <w:rsid w:val="00613094"/>
    <w:rsid w:val="0061342F"/>
    <w:rsid w:val="00615547"/>
    <w:rsid w:val="00615A81"/>
    <w:rsid w:val="00615E29"/>
    <w:rsid w:val="0061640F"/>
    <w:rsid w:val="00616E2C"/>
    <w:rsid w:val="00617568"/>
    <w:rsid w:val="006176FB"/>
    <w:rsid w:val="00621A91"/>
    <w:rsid w:val="0062233D"/>
    <w:rsid w:val="0062240A"/>
    <w:rsid w:val="006243CD"/>
    <w:rsid w:val="006249E2"/>
    <w:rsid w:val="00625B7C"/>
    <w:rsid w:val="0062729F"/>
    <w:rsid w:val="00627E66"/>
    <w:rsid w:val="00630B2C"/>
    <w:rsid w:val="00632CF7"/>
    <w:rsid w:val="006336FF"/>
    <w:rsid w:val="00634942"/>
    <w:rsid w:val="00634F84"/>
    <w:rsid w:val="00636CA8"/>
    <w:rsid w:val="006379B3"/>
    <w:rsid w:val="00640B26"/>
    <w:rsid w:val="00640FAE"/>
    <w:rsid w:val="0064189C"/>
    <w:rsid w:val="006418C3"/>
    <w:rsid w:val="0064269F"/>
    <w:rsid w:val="00642EF3"/>
    <w:rsid w:val="00643442"/>
    <w:rsid w:val="006434AE"/>
    <w:rsid w:val="0064585E"/>
    <w:rsid w:val="00645DD1"/>
    <w:rsid w:val="00645F5F"/>
    <w:rsid w:val="006469E5"/>
    <w:rsid w:val="006474A8"/>
    <w:rsid w:val="0065049B"/>
    <w:rsid w:val="006507B8"/>
    <w:rsid w:val="00650AAD"/>
    <w:rsid w:val="00651FFB"/>
    <w:rsid w:val="00652CD6"/>
    <w:rsid w:val="00652D0A"/>
    <w:rsid w:val="00653135"/>
    <w:rsid w:val="0065420D"/>
    <w:rsid w:val="006547B2"/>
    <w:rsid w:val="006552D0"/>
    <w:rsid w:val="00655B39"/>
    <w:rsid w:val="00655B97"/>
    <w:rsid w:val="00656FB6"/>
    <w:rsid w:val="00657702"/>
    <w:rsid w:val="00657B17"/>
    <w:rsid w:val="00657C58"/>
    <w:rsid w:val="006600FB"/>
    <w:rsid w:val="00660961"/>
    <w:rsid w:val="00660F76"/>
    <w:rsid w:val="006614FC"/>
    <w:rsid w:val="006619B8"/>
    <w:rsid w:val="00662ABF"/>
    <w:rsid w:val="00662BB6"/>
    <w:rsid w:val="00662E6D"/>
    <w:rsid w:val="006648E5"/>
    <w:rsid w:val="00664B2D"/>
    <w:rsid w:val="00665CF3"/>
    <w:rsid w:val="00667AF3"/>
    <w:rsid w:val="00667C48"/>
    <w:rsid w:val="006715F0"/>
    <w:rsid w:val="0067314F"/>
    <w:rsid w:val="00673B5C"/>
    <w:rsid w:val="00674C67"/>
    <w:rsid w:val="006769FB"/>
    <w:rsid w:val="00676DDC"/>
    <w:rsid w:val="00677542"/>
    <w:rsid w:val="00677BB3"/>
    <w:rsid w:val="006819EE"/>
    <w:rsid w:val="00681EF0"/>
    <w:rsid w:val="00682492"/>
    <w:rsid w:val="00683467"/>
    <w:rsid w:val="0068379B"/>
    <w:rsid w:val="00684A82"/>
    <w:rsid w:val="00684C21"/>
    <w:rsid w:val="00684C83"/>
    <w:rsid w:val="0068527D"/>
    <w:rsid w:val="00685887"/>
    <w:rsid w:val="0068612D"/>
    <w:rsid w:val="006864B0"/>
    <w:rsid w:val="006867F9"/>
    <w:rsid w:val="00687BEE"/>
    <w:rsid w:val="00687E4B"/>
    <w:rsid w:val="006914F4"/>
    <w:rsid w:val="00691555"/>
    <w:rsid w:val="006919C9"/>
    <w:rsid w:val="00692760"/>
    <w:rsid w:val="0069285F"/>
    <w:rsid w:val="00694072"/>
    <w:rsid w:val="00694963"/>
    <w:rsid w:val="00695AF6"/>
    <w:rsid w:val="00697660"/>
    <w:rsid w:val="006A09DA"/>
    <w:rsid w:val="006A1212"/>
    <w:rsid w:val="006A141B"/>
    <w:rsid w:val="006A22E3"/>
    <w:rsid w:val="006A28AF"/>
    <w:rsid w:val="006A2E55"/>
    <w:rsid w:val="006A361F"/>
    <w:rsid w:val="006A42F1"/>
    <w:rsid w:val="006A43ED"/>
    <w:rsid w:val="006A4F13"/>
    <w:rsid w:val="006A5607"/>
    <w:rsid w:val="006A6656"/>
    <w:rsid w:val="006A6A75"/>
    <w:rsid w:val="006A6C8D"/>
    <w:rsid w:val="006A7BF4"/>
    <w:rsid w:val="006B05C1"/>
    <w:rsid w:val="006B32A8"/>
    <w:rsid w:val="006B3F2F"/>
    <w:rsid w:val="006B49BF"/>
    <w:rsid w:val="006B5299"/>
    <w:rsid w:val="006B5E57"/>
    <w:rsid w:val="006B5F40"/>
    <w:rsid w:val="006B7376"/>
    <w:rsid w:val="006B7C3E"/>
    <w:rsid w:val="006B7C78"/>
    <w:rsid w:val="006C0B23"/>
    <w:rsid w:val="006C13EB"/>
    <w:rsid w:val="006C19BF"/>
    <w:rsid w:val="006C200E"/>
    <w:rsid w:val="006C2311"/>
    <w:rsid w:val="006C25EA"/>
    <w:rsid w:val="006C262B"/>
    <w:rsid w:val="006C55B3"/>
    <w:rsid w:val="006C5BC4"/>
    <w:rsid w:val="006C6FB4"/>
    <w:rsid w:val="006C71A7"/>
    <w:rsid w:val="006C7929"/>
    <w:rsid w:val="006D1E71"/>
    <w:rsid w:val="006D2239"/>
    <w:rsid w:val="006D2AB6"/>
    <w:rsid w:val="006D30B1"/>
    <w:rsid w:val="006D30B6"/>
    <w:rsid w:val="006D37AF"/>
    <w:rsid w:val="006D3FDF"/>
    <w:rsid w:val="006D442F"/>
    <w:rsid w:val="006D51D0"/>
    <w:rsid w:val="006D5E71"/>
    <w:rsid w:val="006D7355"/>
    <w:rsid w:val="006D76BF"/>
    <w:rsid w:val="006D7AA9"/>
    <w:rsid w:val="006D7C29"/>
    <w:rsid w:val="006E0086"/>
    <w:rsid w:val="006E110E"/>
    <w:rsid w:val="006E3884"/>
    <w:rsid w:val="006E3B89"/>
    <w:rsid w:val="006E4E8F"/>
    <w:rsid w:val="006E564B"/>
    <w:rsid w:val="006E639E"/>
    <w:rsid w:val="006E6665"/>
    <w:rsid w:val="006E68E0"/>
    <w:rsid w:val="006E6DC9"/>
    <w:rsid w:val="006E70B4"/>
    <w:rsid w:val="006E7191"/>
    <w:rsid w:val="006E78FE"/>
    <w:rsid w:val="006F1D9F"/>
    <w:rsid w:val="006F4484"/>
    <w:rsid w:val="006F4587"/>
    <w:rsid w:val="006F52F8"/>
    <w:rsid w:val="006F6098"/>
    <w:rsid w:val="006F6C92"/>
    <w:rsid w:val="006F6DD5"/>
    <w:rsid w:val="006F7CA3"/>
    <w:rsid w:val="006F7FF9"/>
    <w:rsid w:val="0070068B"/>
    <w:rsid w:val="007006D1"/>
    <w:rsid w:val="00700E85"/>
    <w:rsid w:val="00701055"/>
    <w:rsid w:val="007011E9"/>
    <w:rsid w:val="00701559"/>
    <w:rsid w:val="00702A04"/>
    <w:rsid w:val="00703577"/>
    <w:rsid w:val="00703B2D"/>
    <w:rsid w:val="00703BD7"/>
    <w:rsid w:val="00703CBF"/>
    <w:rsid w:val="00704954"/>
    <w:rsid w:val="00704CDF"/>
    <w:rsid w:val="00705307"/>
    <w:rsid w:val="0070668B"/>
    <w:rsid w:val="00707245"/>
    <w:rsid w:val="007077A4"/>
    <w:rsid w:val="00711DEB"/>
    <w:rsid w:val="0071494D"/>
    <w:rsid w:val="00714C1E"/>
    <w:rsid w:val="0071562B"/>
    <w:rsid w:val="00716630"/>
    <w:rsid w:val="00716C5A"/>
    <w:rsid w:val="0071793C"/>
    <w:rsid w:val="007211F9"/>
    <w:rsid w:val="00721251"/>
    <w:rsid w:val="007225E7"/>
    <w:rsid w:val="0072305C"/>
    <w:rsid w:val="0072459F"/>
    <w:rsid w:val="00724E74"/>
    <w:rsid w:val="0072518F"/>
    <w:rsid w:val="00725D87"/>
    <w:rsid w:val="00725F86"/>
    <w:rsid w:val="0072632A"/>
    <w:rsid w:val="00726D61"/>
    <w:rsid w:val="00727AE4"/>
    <w:rsid w:val="0073033A"/>
    <w:rsid w:val="00730DBE"/>
    <w:rsid w:val="007327D5"/>
    <w:rsid w:val="00733E74"/>
    <w:rsid w:val="0073564E"/>
    <w:rsid w:val="00736433"/>
    <w:rsid w:val="00736919"/>
    <w:rsid w:val="00736C7A"/>
    <w:rsid w:val="00737E4A"/>
    <w:rsid w:val="00740254"/>
    <w:rsid w:val="00740A84"/>
    <w:rsid w:val="00742DCC"/>
    <w:rsid w:val="00742EDE"/>
    <w:rsid w:val="007433C9"/>
    <w:rsid w:val="0074380B"/>
    <w:rsid w:val="00744B3A"/>
    <w:rsid w:val="00744D0E"/>
    <w:rsid w:val="007451CA"/>
    <w:rsid w:val="007452FC"/>
    <w:rsid w:val="00745356"/>
    <w:rsid w:val="00745447"/>
    <w:rsid w:val="007456C1"/>
    <w:rsid w:val="00746779"/>
    <w:rsid w:val="0074703B"/>
    <w:rsid w:val="00747419"/>
    <w:rsid w:val="00747CAC"/>
    <w:rsid w:val="00750E66"/>
    <w:rsid w:val="007510C0"/>
    <w:rsid w:val="00753562"/>
    <w:rsid w:val="00754398"/>
    <w:rsid w:val="0075455C"/>
    <w:rsid w:val="00755E24"/>
    <w:rsid w:val="007563E7"/>
    <w:rsid w:val="00756CD0"/>
    <w:rsid w:val="0075709C"/>
    <w:rsid w:val="00757824"/>
    <w:rsid w:val="00760CFF"/>
    <w:rsid w:val="007616B4"/>
    <w:rsid w:val="00761919"/>
    <w:rsid w:val="00761FE7"/>
    <w:rsid w:val="0076280F"/>
    <w:rsid w:val="007629C8"/>
    <w:rsid w:val="00762D73"/>
    <w:rsid w:val="00763A01"/>
    <w:rsid w:val="00766C75"/>
    <w:rsid w:val="007675B3"/>
    <w:rsid w:val="0077082B"/>
    <w:rsid w:val="00770E5F"/>
    <w:rsid w:val="00770F82"/>
    <w:rsid w:val="007722A5"/>
    <w:rsid w:val="00772770"/>
    <w:rsid w:val="00772BDC"/>
    <w:rsid w:val="00772EBF"/>
    <w:rsid w:val="00773825"/>
    <w:rsid w:val="00773A65"/>
    <w:rsid w:val="00773A87"/>
    <w:rsid w:val="00773DDD"/>
    <w:rsid w:val="0077438C"/>
    <w:rsid w:val="00774756"/>
    <w:rsid w:val="00774BC5"/>
    <w:rsid w:val="007758EE"/>
    <w:rsid w:val="00776306"/>
    <w:rsid w:val="007763E6"/>
    <w:rsid w:val="00781126"/>
    <w:rsid w:val="00781350"/>
    <w:rsid w:val="00781BF8"/>
    <w:rsid w:val="0078275E"/>
    <w:rsid w:val="00782D91"/>
    <w:rsid w:val="00783375"/>
    <w:rsid w:val="00784013"/>
    <w:rsid w:val="00784BEC"/>
    <w:rsid w:val="00785C1F"/>
    <w:rsid w:val="00785DEC"/>
    <w:rsid w:val="007876AE"/>
    <w:rsid w:val="00787B52"/>
    <w:rsid w:val="00790A37"/>
    <w:rsid w:val="00790CDD"/>
    <w:rsid w:val="0079105D"/>
    <w:rsid w:val="00791F2E"/>
    <w:rsid w:val="007931C0"/>
    <w:rsid w:val="007935DC"/>
    <w:rsid w:val="00794588"/>
    <w:rsid w:val="00795AF6"/>
    <w:rsid w:val="0079683A"/>
    <w:rsid w:val="00796E53"/>
    <w:rsid w:val="007975B8"/>
    <w:rsid w:val="0079787F"/>
    <w:rsid w:val="007A1638"/>
    <w:rsid w:val="007A3E37"/>
    <w:rsid w:val="007A430F"/>
    <w:rsid w:val="007A4769"/>
    <w:rsid w:val="007A5564"/>
    <w:rsid w:val="007A5DAC"/>
    <w:rsid w:val="007B09AF"/>
    <w:rsid w:val="007B159D"/>
    <w:rsid w:val="007B1CAF"/>
    <w:rsid w:val="007B27E8"/>
    <w:rsid w:val="007B3A63"/>
    <w:rsid w:val="007B41EA"/>
    <w:rsid w:val="007B4D20"/>
    <w:rsid w:val="007B60A7"/>
    <w:rsid w:val="007B6BA5"/>
    <w:rsid w:val="007B7B6D"/>
    <w:rsid w:val="007B7F56"/>
    <w:rsid w:val="007C0F27"/>
    <w:rsid w:val="007C10F6"/>
    <w:rsid w:val="007C2A3A"/>
    <w:rsid w:val="007C2B74"/>
    <w:rsid w:val="007C2D82"/>
    <w:rsid w:val="007C3390"/>
    <w:rsid w:val="007C34B8"/>
    <w:rsid w:val="007C3752"/>
    <w:rsid w:val="007C47AC"/>
    <w:rsid w:val="007C4A07"/>
    <w:rsid w:val="007C4A85"/>
    <w:rsid w:val="007C4B3B"/>
    <w:rsid w:val="007C4F4B"/>
    <w:rsid w:val="007C519E"/>
    <w:rsid w:val="007C67D0"/>
    <w:rsid w:val="007C691B"/>
    <w:rsid w:val="007C784F"/>
    <w:rsid w:val="007C7E4A"/>
    <w:rsid w:val="007D12E4"/>
    <w:rsid w:val="007D146B"/>
    <w:rsid w:val="007D16AD"/>
    <w:rsid w:val="007D1CE5"/>
    <w:rsid w:val="007D2140"/>
    <w:rsid w:val="007D2578"/>
    <w:rsid w:val="007D359A"/>
    <w:rsid w:val="007D35AF"/>
    <w:rsid w:val="007D38EF"/>
    <w:rsid w:val="007D502C"/>
    <w:rsid w:val="007D6095"/>
    <w:rsid w:val="007D7564"/>
    <w:rsid w:val="007E00F3"/>
    <w:rsid w:val="007E06A0"/>
    <w:rsid w:val="007E0B2D"/>
    <w:rsid w:val="007E0E3C"/>
    <w:rsid w:val="007E1A45"/>
    <w:rsid w:val="007E3E17"/>
    <w:rsid w:val="007E4203"/>
    <w:rsid w:val="007E4A16"/>
    <w:rsid w:val="007E4FC2"/>
    <w:rsid w:val="007E6246"/>
    <w:rsid w:val="007E6CAB"/>
    <w:rsid w:val="007E6DBD"/>
    <w:rsid w:val="007E7CD2"/>
    <w:rsid w:val="007F00A9"/>
    <w:rsid w:val="007F2428"/>
    <w:rsid w:val="007F252B"/>
    <w:rsid w:val="007F301D"/>
    <w:rsid w:val="007F350F"/>
    <w:rsid w:val="007F3A98"/>
    <w:rsid w:val="007F4D68"/>
    <w:rsid w:val="007F5E52"/>
    <w:rsid w:val="007F64C4"/>
    <w:rsid w:val="007F6611"/>
    <w:rsid w:val="007F6AC0"/>
    <w:rsid w:val="007F7E74"/>
    <w:rsid w:val="008000A6"/>
    <w:rsid w:val="008005E9"/>
    <w:rsid w:val="00800BC0"/>
    <w:rsid w:val="00800E45"/>
    <w:rsid w:val="00801087"/>
    <w:rsid w:val="008013BC"/>
    <w:rsid w:val="0080145D"/>
    <w:rsid w:val="00801985"/>
    <w:rsid w:val="00801ABE"/>
    <w:rsid w:val="00802F7C"/>
    <w:rsid w:val="00803561"/>
    <w:rsid w:val="00805042"/>
    <w:rsid w:val="00805B2C"/>
    <w:rsid w:val="008068E7"/>
    <w:rsid w:val="00806DD8"/>
    <w:rsid w:val="008077B8"/>
    <w:rsid w:val="008105B8"/>
    <w:rsid w:val="00810B47"/>
    <w:rsid w:val="00810BCA"/>
    <w:rsid w:val="008110DA"/>
    <w:rsid w:val="00811A8A"/>
    <w:rsid w:val="008122F1"/>
    <w:rsid w:val="00812469"/>
    <w:rsid w:val="00812CE2"/>
    <w:rsid w:val="00813658"/>
    <w:rsid w:val="00813F58"/>
    <w:rsid w:val="00815435"/>
    <w:rsid w:val="008154C9"/>
    <w:rsid w:val="00820AAF"/>
    <w:rsid w:val="00820F39"/>
    <w:rsid w:val="008217F8"/>
    <w:rsid w:val="0082337A"/>
    <w:rsid w:val="0082401B"/>
    <w:rsid w:val="0082419E"/>
    <w:rsid w:val="008242D7"/>
    <w:rsid w:val="0082499E"/>
    <w:rsid w:val="008257B1"/>
    <w:rsid w:val="00826430"/>
    <w:rsid w:val="00826B1E"/>
    <w:rsid w:val="00827BA1"/>
    <w:rsid w:val="0083077F"/>
    <w:rsid w:val="00830C50"/>
    <w:rsid w:val="00830F5D"/>
    <w:rsid w:val="00831259"/>
    <w:rsid w:val="008318D7"/>
    <w:rsid w:val="00831A7A"/>
    <w:rsid w:val="00831F86"/>
    <w:rsid w:val="00832335"/>
    <w:rsid w:val="00834184"/>
    <w:rsid w:val="008352EB"/>
    <w:rsid w:val="00835DAB"/>
    <w:rsid w:val="00837CD7"/>
    <w:rsid w:val="008401AE"/>
    <w:rsid w:val="0084159F"/>
    <w:rsid w:val="00841C25"/>
    <w:rsid w:val="00842222"/>
    <w:rsid w:val="008425A1"/>
    <w:rsid w:val="00842E7B"/>
    <w:rsid w:val="00842ED6"/>
    <w:rsid w:val="00843767"/>
    <w:rsid w:val="0084422F"/>
    <w:rsid w:val="008455FA"/>
    <w:rsid w:val="00845A2E"/>
    <w:rsid w:val="0084644B"/>
    <w:rsid w:val="00850012"/>
    <w:rsid w:val="0085026E"/>
    <w:rsid w:val="008505E3"/>
    <w:rsid w:val="00850E4E"/>
    <w:rsid w:val="00853189"/>
    <w:rsid w:val="00853334"/>
    <w:rsid w:val="00853F90"/>
    <w:rsid w:val="0085516E"/>
    <w:rsid w:val="00855257"/>
    <w:rsid w:val="008562C1"/>
    <w:rsid w:val="008564C7"/>
    <w:rsid w:val="00857C43"/>
    <w:rsid w:val="00857DB6"/>
    <w:rsid w:val="00857F3D"/>
    <w:rsid w:val="0086007B"/>
    <w:rsid w:val="008615C9"/>
    <w:rsid w:val="00861B56"/>
    <w:rsid w:val="00862051"/>
    <w:rsid w:val="00862F4D"/>
    <w:rsid w:val="00864338"/>
    <w:rsid w:val="008647C4"/>
    <w:rsid w:val="0086574F"/>
    <w:rsid w:val="0086588D"/>
    <w:rsid w:val="00866A61"/>
    <w:rsid w:val="0086715C"/>
    <w:rsid w:val="008679D9"/>
    <w:rsid w:val="00867F0B"/>
    <w:rsid w:val="008712EE"/>
    <w:rsid w:val="008713BB"/>
    <w:rsid w:val="00871460"/>
    <w:rsid w:val="00872023"/>
    <w:rsid w:val="0087218D"/>
    <w:rsid w:val="00872308"/>
    <w:rsid w:val="008723BE"/>
    <w:rsid w:val="008731DC"/>
    <w:rsid w:val="00873EB2"/>
    <w:rsid w:val="00874303"/>
    <w:rsid w:val="0087589C"/>
    <w:rsid w:val="00876408"/>
    <w:rsid w:val="00876432"/>
    <w:rsid w:val="00876CF8"/>
    <w:rsid w:val="00876DF3"/>
    <w:rsid w:val="0087729E"/>
    <w:rsid w:val="008778AA"/>
    <w:rsid w:val="00880069"/>
    <w:rsid w:val="00880A7D"/>
    <w:rsid w:val="008810E4"/>
    <w:rsid w:val="00881171"/>
    <w:rsid w:val="0088121E"/>
    <w:rsid w:val="00881B81"/>
    <w:rsid w:val="00882F91"/>
    <w:rsid w:val="00883520"/>
    <w:rsid w:val="00884109"/>
    <w:rsid w:val="008844BE"/>
    <w:rsid w:val="008857A0"/>
    <w:rsid w:val="008871F1"/>
    <w:rsid w:val="008876D7"/>
    <w:rsid w:val="00890125"/>
    <w:rsid w:val="00890985"/>
    <w:rsid w:val="00890C71"/>
    <w:rsid w:val="00891D98"/>
    <w:rsid w:val="00894A2A"/>
    <w:rsid w:val="00894D6C"/>
    <w:rsid w:val="00895FA2"/>
    <w:rsid w:val="0089617E"/>
    <w:rsid w:val="0089627C"/>
    <w:rsid w:val="00897526"/>
    <w:rsid w:val="00897794"/>
    <w:rsid w:val="008979B1"/>
    <w:rsid w:val="008A0F57"/>
    <w:rsid w:val="008A1C66"/>
    <w:rsid w:val="008A1DB2"/>
    <w:rsid w:val="008A58BA"/>
    <w:rsid w:val="008A6B25"/>
    <w:rsid w:val="008A6C4F"/>
    <w:rsid w:val="008A775F"/>
    <w:rsid w:val="008A7EBF"/>
    <w:rsid w:val="008B22CD"/>
    <w:rsid w:val="008B2335"/>
    <w:rsid w:val="008B2B7E"/>
    <w:rsid w:val="008B72F9"/>
    <w:rsid w:val="008C0403"/>
    <w:rsid w:val="008C12BB"/>
    <w:rsid w:val="008C2B6E"/>
    <w:rsid w:val="008C33E8"/>
    <w:rsid w:val="008C3998"/>
    <w:rsid w:val="008C4B9E"/>
    <w:rsid w:val="008C5CE2"/>
    <w:rsid w:val="008C66FE"/>
    <w:rsid w:val="008C681E"/>
    <w:rsid w:val="008C6912"/>
    <w:rsid w:val="008C6CF2"/>
    <w:rsid w:val="008D1129"/>
    <w:rsid w:val="008D144F"/>
    <w:rsid w:val="008D1D7A"/>
    <w:rsid w:val="008D1D93"/>
    <w:rsid w:val="008D2557"/>
    <w:rsid w:val="008D2F88"/>
    <w:rsid w:val="008D33C2"/>
    <w:rsid w:val="008D4160"/>
    <w:rsid w:val="008D44A4"/>
    <w:rsid w:val="008D4603"/>
    <w:rsid w:val="008D60EC"/>
    <w:rsid w:val="008D6580"/>
    <w:rsid w:val="008D65B9"/>
    <w:rsid w:val="008D78BA"/>
    <w:rsid w:val="008E0678"/>
    <w:rsid w:val="008E069A"/>
    <w:rsid w:val="008E1C70"/>
    <w:rsid w:val="008E1C81"/>
    <w:rsid w:val="008E35BE"/>
    <w:rsid w:val="008E42FD"/>
    <w:rsid w:val="008E476A"/>
    <w:rsid w:val="008E6B2E"/>
    <w:rsid w:val="008E72D9"/>
    <w:rsid w:val="008F0A61"/>
    <w:rsid w:val="008F10A0"/>
    <w:rsid w:val="008F18B3"/>
    <w:rsid w:val="008F2383"/>
    <w:rsid w:val="008F27F7"/>
    <w:rsid w:val="008F3E4D"/>
    <w:rsid w:val="008F3F30"/>
    <w:rsid w:val="008F4191"/>
    <w:rsid w:val="008F5480"/>
    <w:rsid w:val="008F5BA6"/>
    <w:rsid w:val="008F6B09"/>
    <w:rsid w:val="008F6C47"/>
    <w:rsid w:val="008F749E"/>
    <w:rsid w:val="008F7D14"/>
    <w:rsid w:val="00900F3F"/>
    <w:rsid w:val="00903000"/>
    <w:rsid w:val="009032F1"/>
    <w:rsid w:val="00904677"/>
    <w:rsid w:val="009048F4"/>
    <w:rsid w:val="009050C4"/>
    <w:rsid w:val="00905E0F"/>
    <w:rsid w:val="0090707D"/>
    <w:rsid w:val="00907147"/>
    <w:rsid w:val="009106DF"/>
    <w:rsid w:val="00910F40"/>
    <w:rsid w:val="009126D8"/>
    <w:rsid w:val="00912C08"/>
    <w:rsid w:val="00914A76"/>
    <w:rsid w:val="0091516C"/>
    <w:rsid w:val="00915CB0"/>
    <w:rsid w:val="009161C4"/>
    <w:rsid w:val="00916C6B"/>
    <w:rsid w:val="00921E60"/>
    <w:rsid w:val="009223CA"/>
    <w:rsid w:val="00922D2D"/>
    <w:rsid w:val="009240FF"/>
    <w:rsid w:val="00924123"/>
    <w:rsid w:val="009241E1"/>
    <w:rsid w:val="0092453C"/>
    <w:rsid w:val="00924A5B"/>
    <w:rsid w:val="0092614F"/>
    <w:rsid w:val="0092669D"/>
    <w:rsid w:val="00927220"/>
    <w:rsid w:val="00927726"/>
    <w:rsid w:val="00927C7D"/>
    <w:rsid w:val="009306A1"/>
    <w:rsid w:val="0093082A"/>
    <w:rsid w:val="00931D25"/>
    <w:rsid w:val="009322EC"/>
    <w:rsid w:val="009329D0"/>
    <w:rsid w:val="009329E1"/>
    <w:rsid w:val="00932A39"/>
    <w:rsid w:val="00932DD9"/>
    <w:rsid w:val="00933D17"/>
    <w:rsid w:val="0093555C"/>
    <w:rsid w:val="00935BAB"/>
    <w:rsid w:val="00936BF8"/>
    <w:rsid w:val="00936C82"/>
    <w:rsid w:val="009376B7"/>
    <w:rsid w:val="00937ECD"/>
    <w:rsid w:val="00940550"/>
    <w:rsid w:val="009407CB"/>
    <w:rsid w:val="00940B00"/>
    <w:rsid w:val="00940F93"/>
    <w:rsid w:val="009424EE"/>
    <w:rsid w:val="009428CC"/>
    <w:rsid w:val="00942FB2"/>
    <w:rsid w:val="00943028"/>
    <w:rsid w:val="009444A5"/>
    <w:rsid w:val="00944C8F"/>
    <w:rsid w:val="00945928"/>
    <w:rsid w:val="009468B1"/>
    <w:rsid w:val="00947BBF"/>
    <w:rsid w:val="00947C02"/>
    <w:rsid w:val="00947DA1"/>
    <w:rsid w:val="009503C4"/>
    <w:rsid w:val="00950930"/>
    <w:rsid w:val="00950F6B"/>
    <w:rsid w:val="00951912"/>
    <w:rsid w:val="009526F1"/>
    <w:rsid w:val="009529BC"/>
    <w:rsid w:val="00952C63"/>
    <w:rsid w:val="0095347F"/>
    <w:rsid w:val="0095720F"/>
    <w:rsid w:val="00957283"/>
    <w:rsid w:val="00957F3B"/>
    <w:rsid w:val="0096225B"/>
    <w:rsid w:val="009639D6"/>
    <w:rsid w:val="00964A39"/>
    <w:rsid w:val="00965346"/>
    <w:rsid w:val="00966722"/>
    <w:rsid w:val="00967377"/>
    <w:rsid w:val="0096758E"/>
    <w:rsid w:val="0097043C"/>
    <w:rsid w:val="0097046D"/>
    <w:rsid w:val="009704FD"/>
    <w:rsid w:val="00970686"/>
    <w:rsid w:val="00970696"/>
    <w:rsid w:val="00971333"/>
    <w:rsid w:val="00971823"/>
    <w:rsid w:val="00972A9C"/>
    <w:rsid w:val="009732F1"/>
    <w:rsid w:val="0097330D"/>
    <w:rsid w:val="00973728"/>
    <w:rsid w:val="00973C35"/>
    <w:rsid w:val="00974E31"/>
    <w:rsid w:val="00975132"/>
    <w:rsid w:val="00975712"/>
    <w:rsid w:val="009760F3"/>
    <w:rsid w:val="00976436"/>
    <w:rsid w:val="009764E5"/>
    <w:rsid w:val="0097661B"/>
    <w:rsid w:val="00977B17"/>
    <w:rsid w:val="0098149F"/>
    <w:rsid w:val="00981E05"/>
    <w:rsid w:val="009852A3"/>
    <w:rsid w:val="00985FCF"/>
    <w:rsid w:val="00985FD2"/>
    <w:rsid w:val="00986C9D"/>
    <w:rsid w:val="0099032B"/>
    <w:rsid w:val="00990454"/>
    <w:rsid w:val="009909F5"/>
    <w:rsid w:val="00991CED"/>
    <w:rsid w:val="00992BD7"/>
    <w:rsid w:val="00992FCA"/>
    <w:rsid w:val="009934AF"/>
    <w:rsid w:val="00993D3B"/>
    <w:rsid w:val="0099437B"/>
    <w:rsid w:val="00994FB9"/>
    <w:rsid w:val="009955A7"/>
    <w:rsid w:val="00996485"/>
    <w:rsid w:val="009A0250"/>
    <w:rsid w:val="009A03F7"/>
    <w:rsid w:val="009A0E8D"/>
    <w:rsid w:val="009A13B3"/>
    <w:rsid w:val="009A2899"/>
    <w:rsid w:val="009A313A"/>
    <w:rsid w:val="009A3B92"/>
    <w:rsid w:val="009A446C"/>
    <w:rsid w:val="009A4944"/>
    <w:rsid w:val="009A4EA1"/>
    <w:rsid w:val="009A5BE4"/>
    <w:rsid w:val="009B0616"/>
    <w:rsid w:val="009B14F7"/>
    <w:rsid w:val="009B1653"/>
    <w:rsid w:val="009B2698"/>
    <w:rsid w:val="009B26E7"/>
    <w:rsid w:val="009B30BB"/>
    <w:rsid w:val="009B3629"/>
    <w:rsid w:val="009B386F"/>
    <w:rsid w:val="009B3F07"/>
    <w:rsid w:val="009B5F0A"/>
    <w:rsid w:val="009B5F42"/>
    <w:rsid w:val="009B7BC4"/>
    <w:rsid w:val="009B7FD2"/>
    <w:rsid w:val="009C0696"/>
    <w:rsid w:val="009C0DA8"/>
    <w:rsid w:val="009C1E64"/>
    <w:rsid w:val="009C202A"/>
    <w:rsid w:val="009C261C"/>
    <w:rsid w:val="009C2CB8"/>
    <w:rsid w:val="009C3E52"/>
    <w:rsid w:val="009C41B0"/>
    <w:rsid w:val="009C4ED8"/>
    <w:rsid w:val="009C62F8"/>
    <w:rsid w:val="009C7305"/>
    <w:rsid w:val="009D0F2C"/>
    <w:rsid w:val="009D2717"/>
    <w:rsid w:val="009D33A1"/>
    <w:rsid w:val="009D3437"/>
    <w:rsid w:val="009D3FB6"/>
    <w:rsid w:val="009D42CB"/>
    <w:rsid w:val="009D59E3"/>
    <w:rsid w:val="009D5B08"/>
    <w:rsid w:val="009D61B2"/>
    <w:rsid w:val="009D7844"/>
    <w:rsid w:val="009E104D"/>
    <w:rsid w:val="009E1826"/>
    <w:rsid w:val="009E1B48"/>
    <w:rsid w:val="009E2049"/>
    <w:rsid w:val="009E34A3"/>
    <w:rsid w:val="009E3712"/>
    <w:rsid w:val="009E40C8"/>
    <w:rsid w:val="009E4691"/>
    <w:rsid w:val="009E4C3D"/>
    <w:rsid w:val="009E4F8D"/>
    <w:rsid w:val="009E507B"/>
    <w:rsid w:val="009E58E0"/>
    <w:rsid w:val="009E67E8"/>
    <w:rsid w:val="009F07C9"/>
    <w:rsid w:val="009F0B40"/>
    <w:rsid w:val="009F2171"/>
    <w:rsid w:val="009F350D"/>
    <w:rsid w:val="009F3743"/>
    <w:rsid w:val="009F3CDF"/>
    <w:rsid w:val="009F5A28"/>
    <w:rsid w:val="009F6319"/>
    <w:rsid w:val="009F6B8C"/>
    <w:rsid w:val="009F7E6B"/>
    <w:rsid w:val="009F7E88"/>
    <w:rsid w:val="00A00A3F"/>
    <w:rsid w:val="00A00B07"/>
    <w:rsid w:val="00A01489"/>
    <w:rsid w:val="00A01ADC"/>
    <w:rsid w:val="00A0228E"/>
    <w:rsid w:val="00A0241B"/>
    <w:rsid w:val="00A03A6D"/>
    <w:rsid w:val="00A03B36"/>
    <w:rsid w:val="00A10CAB"/>
    <w:rsid w:val="00A11843"/>
    <w:rsid w:val="00A11ED7"/>
    <w:rsid w:val="00A156BB"/>
    <w:rsid w:val="00A2097A"/>
    <w:rsid w:val="00A20B1A"/>
    <w:rsid w:val="00A20EBB"/>
    <w:rsid w:val="00A21139"/>
    <w:rsid w:val="00A224A2"/>
    <w:rsid w:val="00A226BD"/>
    <w:rsid w:val="00A227D4"/>
    <w:rsid w:val="00A24497"/>
    <w:rsid w:val="00A24A09"/>
    <w:rsid w:val="00A256FE"/>
    <w:rsid w:val="00A25CCF"/>
    <w:rsid w:val="00A279CB"/>
    <w:rsid w:val="00A30C87"/>
    <w:rsid w:val="00A3160C"/>
    <w:rsid w:val="00A3187D"/>
    <w:rsid w:val="00A322CD"/>
    <w:rsid w:val="00A3287C"/>
    <w:rsid w:val="00A333C6"/>
    <w:rsid w:val="00A338F1"/>
    <w:rsid w:val="00A3487C"/>
    <w:rsid w:val="00A34937"/>
    <w:rsid w:val="00A36023"/>
    <w:rsid w:val="00A37573"/>
    <w:rsid w:val="00A4082D"/>
    <w:rsid w:val="00A4091F"/>
    <w:rsid w:val="00A41756"/>
    <w:rsid w:val="00A418BE"/>
    <w:rsid w:val="00A422CC"/>
    <w:rsid w:val="00A42778"/>
    <w:rsid w:val="00A42C88"/>
    <w:rsid w:val="00A434B6"/>
    <w:rsid w:val="00A43858"/>
    <w:rsid w:val="00A43DAE"/>
    <w:rsid w:val="00A443F6"/>
    <w:rsid w:val="00A4458C"/>
    <w:rsid w:val="00A44615"/>
    <w:rsid w:val="00A44846"/>
    <w:rsid w:val="00A44BE1"/>
    <w:rsid w:val="00A46683"/>
    <w:rsid w:val="00A46DEF"/>
    <w:rsid w:val="00A51647"/>
    <w:rsid w:val="00A5336B"/>
    <w:rsid w:val="00A534CA"/>
    <w:rsid w:val="00A5393F"/>
    <w:rsid w:val="00A541B5"/>
    <w:rsid w:val="00A54D8E"/>
    <w:rsid w:val="00A5592E"/>
    <w:rsid w:val="00A55B33"/>
    <w:rsid w:val="00A60ADA"/>
    <w:rsid w:val="00A60BC6"/>
    <w:rsid w:val="00A61177"/>
    <w:rsid w:val="00A61746"/>
    <w:rsid w:val="00A6244A"/>
    <w:rsid w:val="00A62ED0"/>
    <w:rsid w:val="00A64C5A"/>
    <w:rsid w:val="00A669F9"/>
    <w:rsid w:val="00A66A91"/>
    <w:rsid w:val="00A70D58"/>
    <w:rsid w:val="00A70E44"/>
    <w:rsid w:val="00A71523"/>
    <w:rsid w:val="00A71C88"/>
    <w:rsid w:val="00A72320"/>
    <w:rsid w:val="00A727B0"/>
    <w:rsid w:val="00A72ACD"/>
    <w:rsid w:val="00A72F22"/>
    <w:rsid w:val="00A7360F"/>
    <w:rsid w:val="00A7382C"/>
    <w:rsid w:val="00A73B06"/>
    <w:rsid w:val="00A748A6"/>
    <w:rsid w:val="00A760DE"/>
    <w:rsid w:val="00A76440"/>
    <w:rsid w:val="00A769F4"/>
    <w:rsid w:val="00A776B4"/>
    <w:rsid w:val="00A776DB"/>
    <w:rsid w:val="00A77ED5"/>
    <w:rsid w:val="00A81793"/>
    <w:rsid w:val="00A82F93"/>
    <w:rsid w:val="00A83CB2"/>
    <w:rsid w:val="00A84323"/>
    <w:rsid w:val="00A8728E"/>
    <w:rsid w:val="00A878B9"/>
    <w:rsid w:val="00A87D07"/>
    <w:rsid w:val="00A87F46"/>
    <w:rsid w:val="00A901E4"/>
    <w:rsid w:val="00A903B3"/>
    <w:rsid w:val="00A903FB"/>
    <w:rsid w:val="00A90F66"/>
    <w:rsid w:val="00A90FB7"/>
    <w:rsid w:val="00A9110E"/>
    <w:rsid w:val="00A919ED"/>
    <w:rsid w:val="00A92044"/>
    <w:rsid w:val="00A921CB"/>
    <w:rsid w:val="00A931FD"/>
    <w:rsid w:val="00A9399F"/>
    <w:rsid w:val="00A94048"/>
    <w:rsid w:val="00A94361"/>
    <w:rsid w:val="00A94568"/>
    <w:rsid w:val="00A94B2F"/>
    <w:rsid w:val="00A95353"/>
    <w:rsid w:val="00A95820"/>
    <w:rsid w:val="00A97C02"/>
    <w:rsid w:val="00AA01B3"/>
    <w:rsid w:val="00AA16EB"/>
    <w:rsid w:val="00AA2213"/>
    <w:rsid w:val="00AA256C"/>
    <w:rsid w:val="00AA2670"/>
    <w:rsid w:val="00AA293C"/>
    <w:rsid w:val="00AA3C75"/>
    <w:rsid w:val="00AA4180"/>
    <w:rsid w:val="00AA4655"/>
    <w:rsid w:val="00AA4DB4"/>
    <w:rsid w:val="00AA599D"/>
    <w:rsid w:val="00AB08CB"/>
    <w:rsid w:val="00AB0B7D"/>
    <w:rsid w:val="00AB0E40"/>
    <w:rsid w:val="00AB0F36"/>
    <w:rsid w:val="00AB17F6"/>
    <w:rsid w:val="00AB1DEE"/>
    <w:rsid w:val="00AB2809"/>
    <w:rsid w:val="00AB2B2E"/>
    <w:rsid w:val="00AB2CEB"/>
    <w:rsid w:val="00AB493C"/>
    <w:rsid w:val="00AB634E"/>
    <w:rsid w:val="00AB6E0F"/>
    <w:rsid w:val="00AB70D0"/>
    <w:rsid w:val="00AC0BB9"/>
    <w:rsid w:val="00AC3112"/>
    <w:rsid w:val="00AC31CC"/>
    <w:rsid w:val="00AC4100"/>
    <w:rsid w:val="00AC4BEF"/>
    <w:rsid w:val="00AC51C1"/>
    <w:rsid w:val="00AC524C"/>
    <w:rsid w:val="00AC741B"/>
    <w:rsid w:val="00AC77D3"/>
    <w:rsid w:val="00AD0094"/>
    <w:rsid w:val="00AD1719"/>
    <w:rsid w:val="00AD2438"/>
    <w:rsid w:val="00AD29C5"/>
    <w:rsid w:val="00AD4F86"/>
    <w:rsid w:val="00AD6BC4"/>
    <w:rsid w:val="00AD6D4A"/>
    <w:rsid w:val="00AD70DD"/>
    <w:rsid w:val="00AD7892"/>
    <w:rsid w:val="00AE009A"/>
    <w:rsid w:val="00AE17C2"/>
    <w:rsid w:val="00AE2130"/>
    <w:rsid w:val="00AE2691"/>
    <w:rsid w:val="00AE30FA"/>
    <w:rsid w:val="00AE46C5"/>
    <w:rsid w:val="00AE5562"/>
    <w:rsid w:val="00AE5C48"/>
    <w:rsid w:val="00AE724D"/>
    <w:rsid w:val="00AE7960"/>
    <w:rsid w:val="00AE7973"/>
    <w:rsid w:val="00AF0154"/>
    <w:rsid w:val="00AF1734"/>
    <w:rsid w:val="00AF2119"/>
    <w:rsid w:val="00AF29B9"/>
    <w:rsid w:val="00AF36C1"/>
    <w:rsid w:val="00AF40D5"/>
    <w:rsid w:val="00AF49FA"/>
    <w:rsid w:val="00AF4C3A"/>
    <w:rsid w:val="00AF5045"/>
    <w:rsid w:val="00AF593E"/>
    <w:rsid w:val="00AF72C1"/>
    <w:rsid w:val="00AF74E4"/>
    <w:rsid w:val="00AF753E"/>
    <w:rsid w:val="00AF79E2"/>
    <w:rsid w:val="00B006C6"/>
    <w:rsid w:val="00B028AA"/>
    <w:rsid w:val="00B02DF0"/>
    <w:rsid w:val="00B032D5"/>
    <w:rsid w:val="00B04197"/>
    <w:rsid w:val="00B041A9"/>
    <w:rsid w:val="00B04EFC"/>
    <w:rsid w:val="00B053D5"/>
    <w:rsid w:val="00B05B0D"/>
    <w:rsid w:val="00B05F68"/>
    <w:rsid w:val="00B062FF"/>
    <w:rsid w:val="00B07009"/>
    <w:rsid w:val="00B114F0"/>
    <w:rsid w:val="00B11D2D"/>
    <w:rsid w:val="00B11FA1"/>
    <w:rsid w:val="00B126FB"/>
    <w:rsid w:val="00B13E9B"/>
    <w:rsid w:val="00B14DA6"/>
    <w:rsid w:val="00B15596"/>
    <w:rsid w:val="00B15767"/>
    <w:rsid w:val="00B15A03"/>
    <w:rsid w:val="00B16498"/>
    <w:rsid w:val="00B16D8A"/>
    <w:rsid w:val="00B22552"/>
    <w:rsid w:val="00B236A2"/>
    <w:rsid w:val="00B238B1"/>
    <w:rsid w:val="00B24C6B"/>
    <w:rsid w:val="00B3011F"/>
    <w:rsid w:val="00B30179"/>
    <w:rsid w:val="00B32150"/>
    <w:rsid w:val="00B326FE"/>
    <w:rsid w:val="00B3314A"/>
    <w:rsid w:val="00B339A7"/>
    <w:rsid w:val="00B33D8B"/>
    <w:rsid w:val="00B33FC9"/>
    <w:rsid w:val="00B34E15"/>
    <w:rsid w:val="00B34F2F"/>
    <w:rsid w:val="00B35041"/>
    <w:rsid w:val="00B36BBE"/>
    <w:rsid w:val="00B36E88"/>
    <w:rsid w:val="00B373D4"/>
    <w:rsid w:val="00B37A97"/>
    <w:rsid w:val="00B404A6"/>
    <w:rsid w:val="00B4107D"/>
    <w:rsid w:val="00B411C9"/>
    <w:rsid w:val="00B422C9"/>
    <w:rsid w:val="00B4255B"/>
    <w:rsid w:val="00B42915"/>
    <w:rsid w:val="00B43D7F"/>
    <w:rsid w:val="00B465B0"/>
    <w:rsid w:val="00B47688"/>
    <w:rsid w:val="00B476EB"/>
    <w:rsid w:val="00B50C9B"/>
    <w:rsid w:val="00B50DD4"/>
    <w:rsid w:val="00B52C79"/>
    <w:rsid w:val="00B56091"/>
    <w:rsid w:val="00B56D1E"/>
    <w:rsid w:val="00B56E4A"/>
    <w:rsid w:val="00B56E9C"/>
    <w:rsid w:val="00B6012C"/>
    <w:rsid w:val="00B60EE7"/>
    <w:rsid w:val="00B626CD"/>
    <w:rsid w:val="00B63021"/>
    <w:rsid w:val="00B63305"/>
    <w:rsid w:val="00B63EC0"/>
    <w:rsid w:val="00B63EED"/>
    <w:rsid w:val="00B63F9E"/>
    <w:rsid w:val="00B640A4"/>
    <w:rsid w:val="00B64A03"/>
    <w:rsid w:val="00B64B1F"/>
    <w:rsid w:val="00B6553F"/>
    <w:rsid w:val="00B66BB7"/>
    <w:rsid w:val="00B66E5E"/>
    <w:rsid w:val="00B67170"/>
    <w:rsid w:val="00B6759C"/>
    <w:rsid w:val="00B678D3"/>
    <w:rsid w:val="00B70691"/>
    <w:rsid w:val="00B707A6"/>
    <w:rsid w:val="00B70A71"/>
    <w:rsid w:val="00B70EE8"/>
    <w:rsid w:val="00B71028"/>
    <w:rsid w:val="00B71779"/>
    <w:rsid w:val="00B7180C"/>
    <w:rsid w:val="00B7203A"/>
    <w:rsid w:val="00B72042"/>
    <w:rsid w:val="00B72E60"/>
    <w:rsid w:val="00B72FA4"/>
    <w:rsid w:val="00B7394C"/>
    <w:rsid w:val="00B73977"/>
    <w:rsid w:val="00B73C73"/>
    <w:rsid w:val="00B751DB"/>
    <w:rsid w:val="00B75DE7"/>
    <w:rsid w:val="00B77D05"/>
    <w:rsid w:val="00B77D93"/>
    <w:rsid w:val="00B77E62"/>
    <w:rsid w:val="00B811D6"/>
    <w:rsid w:val="00B81206"/>
    <w:rsid w:val="00B812CE"/>
    <w:rsid w:val="00B81D9B"/>
    <w:rsid w:val="00B81E12"/>
    <w:rsid w:val="00B8250D"/>
    <w:rsid w:val="00B82C19"/>
    <w:rsid w:val="00B84664"/>
    <w:rsid w:val="00B84CD1"/>
    <w:rsid w:val="00B84CDC"/>
    <w:rsid w:val="00B84F82"/>
    <w:rsid w:val="00B85B11"/>
    <w:rsid w:val="00B87BCB"/>
    <w:rsid w:val="00B87CBA"/>
    <w:rsid w:val="00B90538"/>
    <w:rsid w:val="00B9067B"/>
    <w:rsid w:val="00B90A8D"/>
    <w:rsid w:val="00B9112F"/>
    <w:rsid w:val="00B91246"/>
    <w:rsid w:val="00B915AA"/>
    <w:rsid w:val="00B925DC"/>
    <w:rsid w:val="00B928CF"/>
    <w:rsid w:val="00B941F2"/>
    <w:rsid w:val="00B94F58"/>
    <w:rsid w:val="00B94FB5"/>
    <w:rsid w:val="00B95F70"/>
    <w:rsid w:val="00BA037A"/>
    <w:rsid w:val="00BA0EA4"/>
    <w:rsid w:val="00BA0F20"/>
    <w:rsid w:val="00BA118A"/>
    <w:rsid w:val="00BA1549"/>
    <w:rsid w:val="00BA1CC1"/>
    <w:rsid w:val="00BA1CC8"/>
    <w:rsid w:val="00BA1E1F"/>
    <w:rsid w:val="00BA224D"/>
    <w:rsid w:val="00BA2916"/>
    <w:rsid w:val="00BA2AE3"/>
    <w:rsid w:val="00BA2FDB"/>
    <w:rsid w:val="00BA32A2"/>
    <w:rsid w:val="00BA4426"/>
    <w:rsid w:val="00BA5CAE"/>
    <w:rsid w:val="00BA5EE8"/>
    <w:rsid w:val="00BA60D6"/>
    <w:rsid w:val="00BA650A"/>
    <w:rsid w:val="00BA6C71"/>
    <w:rsid w:val="00BA70E2"/>
    <w:rsid w:val="00BA779C"/>
    <w:rsid w:val="00BB08FB"/>
    <w:rsid w:val="00BB1195"/>
    <w:rsid w:val="00BB14DC"/>
    <w:rsid w:val="00BB1ADB"/>
    <w:rsid w:val="00BB25F9"/>
    <w:rsid w:val="00BB303F"/>
    <w:rsid w:val="00BB3047"/>
    <w:rsid w:val="00BB4059"/>
    <w:rsid w:val="00BB41D2"/>
    <w:rsid w:val="00BB507F"/>
    <w:rsid w:val="00BB592F"/>
    <w:rsid w:val="00BB79F6"/>
    <w:rsid w:val="00BC1127"/>
    <w:rsid w:val="00BC258B"/>
    <w:rsid w:val="00BC2C23"/>
    <w:rsid w:val="00BC3780"/>
    <w:rsid w:val="00BC3DBD"/>
    <w:rsid w:val="00BC4591"/>
    <w:rsid w:val="00BC52FD"/>
    <w:rsid w:val="00BC71E0"/>
    <w:rsid w:val="00BC74E9"/>
    <w:rsid w:val="00BC794C"/>
    <w:rsid w:val="00BC7CD7"/>
    <w:rsid w:val="00BD1267"/>
    <w:rsid w:val="00BD2B82"/>
    <w:rsid w:val="00BD3CCC"/>
    <w:rsid w:val="00BD3EE4"/>
    <w:rsid w:val="00BD4490"/>
    <w:rsid w:val="00BD4C87"/>
    <w:rsid w:val="00BD5A0F"/>
    <w:rsid w:val="00BD7566"/>
    <w:rsid w:val="00BD7CF6"/>
    <w:rsid w:val="00BE0A0F"/>
    <w:rsid w:val="00BE1811"/>
    <w:rsid w:val="00BE189C"/>
    <w:rsid w:val="00BE297A"/>
    <w:rsid w:val="00BE3109"/>
    <w:rsid w:val="00BE3B03"/>
    <w:rsid w:val="00BE4408"/>
    <w:rsid w:val="00BE5B3E"/>
    <w:rsid w:val="00BE6620"/>
    <w:rsid w:val="00BE6B28"/>
    <w:rsid w:val="00BE6C6B"/>
    <w:rsid w:val="00BE74EC"/>
    <w:rsid w:val="00BF1070"/>
    <w:rsid w:val="00BF15CF"/>
    <w:rsid w:val="00BF27CF"/>
    <w:rsid w:val="00BF2A76"/>
    <w:rsid w:val="00BF35B6"/>
    <w:rsid w:val="00BF3954"/>
    <w:rsid w:val="00BF43D7"/>
    <w:rsid w:val="00BF44D0"/>
    <w:rsid w:val="00BF4645"/>
    <w:rsid w:val="00BF46D3"/>
    <w:rsid w:val="00BF476D"/>
    <w:rsid w:val="00BF5002"/>
    <w:rsid w:val="00BF5D8C"/>
    <w:rsid w:val="00BF68A8"/>
    <w:rsid w:val="00BF6987"/>
    <w:rsid w:val="00C00895"/>
    <w:rsid w:val="00C01578"/>
    <w:rsid w:val="00C01AEE"/>
    <w:rsid w:val="00C02A1B"/>
    <w:rsid w:val="00C02A8D"/>
    <w:rsid w:val="00C02C4B"/>
    <w:rsid w:val="00C04C76"/>
    <w:rsid w:val="00C04F32"/>
    <w:rsid w:val="00C05F42"/>
    <w:rsid w:val="00C069EB"/>
    <w:rsid w:val="00C06FCA"/>
    <w:rsid w:val="00C10D51"/>
    <w:rsid w:val="00C11A03"/>
    <w:rsid w:val="00C11FDF"/>
    <w:rsid w:val="00C143EB"/>
    <w:rsid w:val="00C145C1"/>
    <w:rsid w:val="00C14BD6"/>
    <w:rsid w:val="00C15550"/>
    <w:rsid w:val="00C173AE"/>
    <w:rsid w:val="00C201EC"/>
    <w:rsid w:val="00C20FCC"/>
    <w:rsid w:val="00C214D9"/>
    <w:rsid w:val="00C2628A"/>
    <w:rsid w:val="00C266CF"/>
    <w:rsid w:val="00C26F03"/>
    <w:rsid w:val="00C26FC0"/>
    <w:rsid w:val="00C27581"/>
    <w:rsid w:val="00C300F2"/>
    <w:rsid w:val="00C30BF9"/>
    <w:rsid w:val="00C311A3"/>
    <w:rsid w:val="00C31357"/>
    <w:rsid w:val="00C336BC"/>
    <w:rsid w:val="00C3404B"/>
    <w:rsid w:val="00C34376"/>
    <w:rsid w:val="00C366BC"/>
    <w:rsid w:val="00C37954"/>
    <w:rsid w:val="00C40EAE"/>
    <w:rsid w:val="00C416BF"/>
    <w:rsid w:val="00C425B0"/>
    <w:rsid w:val="00C42B0D"/>
    <w:rsid w:val="00C43195"/>
    <w:rsid w:val="00C43987"/>
    <w:rsid w:val="00C4547D"/>
    <w:rsid w:val="00C455F8"/>
    <w:rsid w:val="00C45889"/>
    <w:rsid w:val="00C463DD"/>
    <w:rsid w:val="00C47021"/>
    <w:rsid w:val="00C4724C"/>
    <w:rsid w:val="00C47765"/>
    <w:rsid w:val="00C47A90"/>
    <w:rsid w:val="00C505C1"/>
    <w:rsid w:val="00C50808"/>
    <w:rsid w:val="00C5114E"/>
    <w:rsid w:val="00C51AA5"/>
    <w:rsid w:val="00C53C80"/>
    <w:rsid w:val="00C54A1B"/>
    <w:rsid w:val="00C55040"/>
    <w:rsid w:val="00C561FD"/>
    <w:rsid w:val="00C56C38"/>
    <w:rsid w:val="00C57D7E"/>
    <w:rsid w:val="00C6112D"/>
    <w:rsid w:val="00C61A80"/>
    <w:rsid w:val="00C6210B"/>
    <w:rsid w:val="00C625C5"/>
    <w:rsid w:val="00C626F5"/>
    <w:rsid w:val="00C629A0"/>
    <w:rsid w:val="00C62C49"/>
    <w:rsid w:val="00C6421E"/>
    <w:rsid w:val="00C65D11"/>
    <w:rsid w:val="00C65F24"/>
    <w:rsid w:val="00C667EA"/>
    <w:rsid w:val="00C66E13"/>
    <w:rsid w:val="00C67715"/>
    <w:rsid w:val="00C67C01"/>
    <w:rsid w:val="00C67DB3"/>
    <w:rsid w:val="00C70A59"/>
    <w:rsid w:val="00C730CD"/>
    <w:rsid w:val="00C73104"/>
    <w:rsid w:val="00C745C3"/>
    <w:rsid w:val="00C74721"/>
    <w:rsid w:val="00C750C4"/>
    <w:rsid w:val="00C75778"/>
    <w:rsid w:val="00C767DA"/>
    <w:rsid w:val="00C77965"/>
    <w:rsid w:val="00C8039C"/>
    <w:rsid w:val="00C80594"/>
    <w:rsid w:val="00C80598"/>
    <w:rsid w:val="00C81556"/>
    <w:rsid w:val="00C82A2C"/>
    <w:rsid w:val="00C82CBA"/>
    <w:rsid w:val="00C82D84"/>
    <w:rsid w:val="00C83775"/>
    <w:rsid w:val="00C83FAD"/>
    <w:rsid w:val="00C8488B"/>
    <w:rsid w:val="00C86583"/>
    <w:rsid w:val="00C869D0"/>
    <w:rsid w:val="00C86C91"/>
    <w:rsid w:val="00C878F9"/>
    <w:rsid w:val="00C9018D"/>
    <w:rsid w:val="00C90259"/>
    <w:rsid w:val="00C90922"/>
    <w:rsid w:val="00C90A6F"/>
    <w:rsid w:val="00C91BF6"/>
    <w:rsid w:val="00C930C0"/>
    <w:rsid w:val="00C931E9"/>
    <w:rsid w:val="00C9539C"/>
    <w:rsid w:val="00C95953"/>
    <w:rsid w:val="00C9689A"/>
    <w:rsid w:val="00C97648"/>
    <w:rsid w:val="00CA0B98"/>
    <w:rsid w:val="00CA1C55"/>
    <w:rsid w:val="00CA2074"/>
    <w:rsid w:val="00CA24D2"/>
    <w:rsid w:val="00CA3BCF"/>
    <w:rsid w:val="00CA4130"/>
    <w:rsid w:val="00CA51EA"/>
    <w:rsid w:val="00CA5221"/>
    <w:rsid w:val="00CA6108"/>
    <w:rsid w:val="00CA64F1"/>
    <w:rsid w:val="00CA68A6"/>
    <w:rsid w:val="00CA6AA5"/>
    <w:rsid w:val="00CA6F14"/>
    <w:rsid w:val="00CB02E5"/>
    <w:rsid w:val="00CB183C"/>
    <w:rsid w:val="00CB1A42"/>
    <w:rsid w:val="00CB1E36"/>
    <w:rsid w:val="00CB1F5E"/>
    <w:rsid w:val="00CB2297"/>
    <w:rsid w:val="00CB3DE5"/>
    <w:rsid w:val="00CB4B48"/>
    <w:rsid w:val="00CB69AB"/>
    <w:rsid w:val="00CB6DA1"/>
    <w:rsid w:val="00CB6E28"/>
    <w:rsid w:val="00CB6F90"/>
    <w:rsid w:val="00CB79BD"/>
    <w:rsid w:val="00CC0228"/>
    <w:rsid w:val="00CC09DF"/>
    <w:rsid w:val="00CC1E05"/>
    <w:rsid w:val="00CC2095"/>
    <w:rsid w:val="00CC2514"/>
    <w:rsid w:val="00CC3A62"/>
    <w:rsid w:val="00CC4681"/>
    <w:rsid w:val="00CC4D22"/>
    <w:rsid w:val="00CC4FBE"/>
    <w:rsid w:val="00CC5D60"/>
    <w:rsid w:val="00CC60B3"/>
    <w:rsid w:val="00CC66C5"/>
    <w:rsid w:val="00CC6C5D"/>
    <w:rsid w:val="00CC7524"/>
    <w:rsid w:val="00CC7704"/>
    <w:rsid w:val="00CC791D"/>
    <w:rsid w:val="00CD18C2"/>
    <w:rsid w:val="00CD1D2D"/>
    <w:rsid w:val="00CD22CA"/>
    <w:rsid w:val="00CD31B2"/>
    <w:rsid w:val="00CD3B75"/>
    <w:rsid w:val="00CD3ED9"/>
    <w:rsid w:val="00CD43A2"/>
    <w:rsid w:val="00CD4FD6"/>
    <w:rsid w:val="00CD5334"/>
    <w:rsid w:val="00CD5B8E"/>
    <w:rsid w:val="00CD606E"/>
    <w:rsid w:val="00CD750E"/>
    <w:rsid w:val="00CD7996"/>
    <w:rsid w:val="00CD7F44"/>
    <w:rsid w:val="00CE0144"/>
    <w:rsid w:val="00CE0D7F"/>
    <w:rsid w:val="00CE3990"/>
    <w:rsid w:val="00CE3D2B"/>
    <w:rsid w:val="00CE4824"/>
    <w:rsid w:val="00CE4A8F"/>
    <w:rsid w:val="00CE4DF1"/>
    <w:rsid w:val="00CE64F5"/>
    <w:rsid w:val="00CE6E0D"/>
    <w:rsid w:val="00CF041B"/>
    <w:rsid w:val="00CF0628"/>
    <w:rsid w:val="00CF105F"/>
    <w:rsid w:val="00CF166B"/>
    <w:rsid w:val="00CF3A0C"/>
    <w:rsid w:val="00CF3EB1"/>
    <w:rsid w:val="00CF4E53"/>
    <w:rsid w:val="00CF4EB1"/>
    <w:rsid w:val="00CF5338"/>
    <w:rsid w:val="00CF5D11"/>
    <w:rsid w:val="00D01290"/>
    <w:rsid w:val="00D0137C"/>
    <w:rsid w:val="00D01F8E"/>
    <w:rsid w:val="00D03108"/>
    <w:rsid w:val="00D04AC9"/>
    <w:rsid w:val="00D04FE7"/>
    <w:rsid w:val="00D04FFF"/>
    <w:rsid w:val="00D0585A"/>
    <w:rsid w:val="00D06902"/>
    <w:rsid w:val="00D06AB5"/>
    <w:rsid w:val="00D06DC0"/>
    <w:rsid w:val="00D07243"/>
    <w:rsid w:val="00D075A8"/>
    <w:rsid w:val="00D077C4"/>
    <w:rsid w:val="00D1022C"/>
    <w:rsid w:val="00D1027C"/>
    <w:rsid w:val="00D105FD"/>
    <w:rsid w:val="00D10674"/>
    <w:rsid w:val="00D1153D"/>
    <w:rsid w:val="00D12100"/>
    <w:rsid w:val="00D12571"/>
    <w:rsid w:val="00D126DE"/>
    <w:rsid w:val="00D12E86"/>
    <w:rsid w:val="00D130A3"/>
    <w:rsid w:val="00D13D1D"/>
    <w:rsid w:val="00D14300"/>
    <w:rsid w:val="00D2030A"/>
    <w:rsid w:val="00D2031B"/>
    <w:rsid w:val="00D20E1F"/>
    <w:rsid w:val="00D214FF"/>
    <w:rsid w:val="00D2225D"/>
    <w:rsid w:val="00D227A3"/>
    <w:rsid w:val="00D236D8"/>
    <w:rsid w:val="00D2394A"/>
    <w:rsid w:val="00D240B9"/>
    <w:rsid w:val="00D25FE2"/>
    <w:rsid w:val="00D30865"/>
    <w:rsid w:val="00D30EDF"/>
    <w:rsid w:val="00D312A8"/>
    <w:rsid w:val="00D319B4"/>
    <w:rsid w:val="00D338ED"/>
    <w:rsid w:val="00D3520D"/>
    <w:rsid w:val="00D3595B"/>
    <w:rsid w:val="00D35AD9"/>
    <w:rsid w:val="00D37C92"/>
    <w:rsid w:val="00D37FC9"/>
    <w:rsid w:val="00D401AC"/>
    <w:rsid w:val="00D40985"/>
    <w:rsid w:val="00D413B9"/>
    <w:rsid w:val="00D41BCD"/>
    <w:rsid w:val="00D41F44"/>
    <w:rsid w:val="00D424A8"/>
    <w:rsid w:val="00D4267C"/>
    <w:rsid w:val="00D43252"/>
    <w:rsid w:val="00D44B22"/>
    <w:rsid w:val="00D452C1"/>
    <w:rsid w:val="00D45F44"/>
    <w:rsid w:val="00D47137"/>
    <w:rsid w:val="00D47EEA"/>
    <w:rsid w:val="00D513B9"/>
    <w:rsid w:val="00D51DE0"/>
    <w:rsid w:val="00D53301"/>
    <w:rsid w:val="00D534A8"/>
    <w:rsid w:val="00D54F09"/>
    <w:rsid w:val="00D55A86"/>
    <w:rsid w:val="00D55D45"/>
    <w:rsid w:val="00D55F89"/>
    <w:rsid w:val="00D5680C"/>
    <w:rsid w:val="00D56CFA"/>
    <w:rsid w:val="00D572DB"/>
    <w:rsid w:val="00D57508"/>
    <w:rsid w:val="00D57911"/>
    <w:rsid w:val="00D57E4B"/>
    <w:rsid w:val="00D603AA"/>
    <w:rsid w:val="00D60DB9"/>
    <w:rsid w:val="00D61489"/>
    <w:rsid w:val="00D61988"/>
    <w:rsid w:val="00D619EA"/>
    <w:rsid w:val="00D61B44"/>
    <w:rsid w:val="00D629CE"/>
    <w:rsid w:val="00D6381B"/>
    <w:rsid w:val="00D64082"/>
    <w:rsid w:val="00D64E4A"/>
    <w:rsid w:val="00D65B2F"/>
    <w:rsid w:val="00D660CA"/>
    <w:rsid w:val="00D66397"/>
    <w:rsid w:val="00D701CD"/>
    <w:rsid w:val="00D70D43"/>
    <w:rsid w:val="00D71887"/>
    <w:rsid w:val="00D71A1E"/>
    <w:rsid w:val="00D71EAB"/>
    <w:rsid w:val="00D7231A"/>
    <w:rsid w:val="00D73B87"/>
    <w:rsid w:val="00D74BB6"/>
    <w:rsid w:val="00D76C24"/>
    <w:rsid w:val="00D77BFB"/>
    <w:rsid w:val="00D77D21"/>
    <w:rsid w:val="00D803F7"/>
    <w:rsid w:val="00D825C4"/>
    <w:rsid w:val="00D832C8"/>
    <w:rsid w:val="00D8365B"/>
    <w:rsid w:val="00D843D2"/>
    <w:rsid w:val="00D84748"/>
    <w:rsid w:val="00D85001"/>
    <w:rsid w:val="00D85274"/>
    <w:rsid w:val="00D854EF"/>
    <w:rsid w:val="00D86052"/>
    <w:rsid w:val="00D87652"/>
    <w:rsid w:val="00D87F20"/>
    <w:rsid w:val="00D90505"/>
    <w:rsid w:val="00D90916"/>
    <w:rsid w:val="00D90B60"/>
    <w:rsid w:val="00D9194B"/>
    <w:rsid w:val="00D9252F"/>
    <w:rsid w:val="00D92846"/>
    <w:rsid w:val="00D92A50"/>
    <w:rsid w:val="00D9454A"/>
    <w:rsid w:val="00D95303"/>
    <w:rsid w:val="00D95DE8"/>
    <w:rsid w:val="00D9629F"/>
    <w:rsid w:val="00D96305"/>
    <w:rsid w:val="00D96D5A"/>
    <w:rsid w:val="00D97604"/>
    <w:rsid w:val="00D978C6"/>
    <w:rsid w:val="00DA0923"/>
    <w:rsid w:val="00DA19A9"/>
    <w:rsid w:val="00DA1AC8"/>
    <w:rsid w:val="00DA1D35"/>
    <w:rsid w:val="00DA2BA5"/>
    <w:rsid w:val="00DA3111"/>
    <w:rsid w:val="00DA3C1C"/>
    <w:rsid w:val="00DA3DFF"/>
    <w:rsid w:val="00DA3F5C"/>
    <w:rsid w:val="00DA48B0"/>
    <w:rsid w:val="00DA48DC"/>
    <w:rsid w:val="00DA58A2"/>
    <w:rsid w:val="00DA5A7D"/>
    <w:rsid w:val="00DA684B"/>
    <w:rsid w:val="00DA75E6"/>
    <w:rsid w:val="00DB0254"/>
    <w:rsid w:val="00DB0C79"/>
    <w:rsid w:val="00DB1DA3"/>
    <w:rsid w:val="00DB2AA6"/>
    <w:rsid w:val="00DB2D29"/>
    <w:rsid w:val="00DB3621"/>
    <w:rsid w:val="00DB37F9"/>
    <w:rsid w:val="00DB3969"/>
    <w:rsid w:val="00DB3A8A"/>
    <w:rsid w:val="00DB4089"/>
    <w:rsid w:val="00DB4479"/>
    <w:rsid w:val="00DB5F1E"/>
    <w:rsid w:val="00DB63DA"/>
    <w:rsid w:val="00DB6A35"/>
    <w:rsid w:val="00DB76BB"/>
    <w:rsid w:val="00DB7857"/>
    <w:rsid w:val="00DB7AC2"/>
    <w:rsid w:val="00DC058C"/>
    <w:rsid w:val="00DC05D6"/>
    <w:rsid w:val="00DC0E59"/>
    <w:rsid w:val="00DC10F2"/>
    <w:rsid w:val="00DC151E"/>
    <w:rsid w:val="00DC18B3"/>
    <w:rsid w:val="00DC220C"/>
    <w:rsid w:val="00DC2497"/>
    <w:rsid w:val="00DC35E6"/>
    <w:rsid w:val="00DC385B"/>
    <w:rsid w:val="00DC470A"/>
    <w:rsid w:val="00DC55E9"/>
    <w:rsid w:val="00DC60A5"/>
    <w:rsid w:val="00DC66A5"/>
    <w:rsid w:val="00DC6B52"/>
    <w:rsid w:val="00DC6FDE"/>
    <w:rsid w:val="00DD0899"/>
    <w:rsid w:val="00DD0B75"/>
    <w:rsid w:val="00DD17C9"/>
    <w:rsid w:val="00DD19FB"/>
    <w:rsid w:val="00DD1F68"/>
    <w:rsid w:val="00DD2ABF"/>
    <w:rsid w:val="00DD2FEB"/>
    <w:rsid w:val="00DD40AC"/>
    <w:rsid w:val="00DD592B"/>
    <w:rsid w:val="00DD5BE1"/>
    <w:rsid w:val="00DD62CF"/>
    <w:rsid w:val="00DD66EA"/>
    <w:rsid w:val="00DD6A65"/>
    <w:rsid w:val="00DD6C1A"/>
    <w:rsid w:val="00DD7865"/>
    <w:rsid w:val="00DD7878"/>
    <w:rsid w:val="00DD7EC3"/>
    <w:rsid w:val="00DE05E4"/>
    <w:rsid w:val="00DE247D"/>
    <w:rsid w:val="00DE2676"/>
    <w:rsid w:val="00DE3403"/>
    <w:rsid w:val="00DE3EBD"/>
    <w:rsid w:val="00DE40B6"/>
    <w:rsid w:val="00DE6C5A"/>
    <w:rsid w:val="00DE7EAB"/>
    <w:rsid w:val="00DF120A"/>
    <w:rsid w:val="00DF48BD"/>
    <w:rsid w:val="00DF491F"/>
    <w:rsid w:val="00DF68E2"/>
    <w:rsid w:val="00DF6D34"/>
    <w:rsid w:val="00E00195"/>
    <w:rsid w:val="00E00452"/>
    <w:rsid w:val="00E0224F"/>
    <w:rsid w:val="00E03A97"/>
    <w:rsid w:val="00E0465B"/>
    <w:rsid w:val="00E051B4"/>
    <w:rsid w:val="00E05765"/>
    <w:rsid w:val="00E059AA"/>
    <w:rsid w:val="00E07F3A"/>
    <w:rsid w:val="00E1035B"/>
    <w:rsid w:val="00E11310"/>
    <w:rsid w:val="00E12CCE"/>
    <w:rsid w:val="00E15304"/>
    <w:rsid w:val="00E20C9C"/>
    <w:rsid w:val="00E20F78"/>
    <w:rsid w:val="00E2127B"/>
    <w:rsid w:val="00E215AA"/>
    <w:rsid w:val="00E243A4"/>
    <w:rsid w:val="00E25768"/>
    <w:rsid w:val="00E261B6"/>
    <w:rsid w:val="00E26209"/>
    <w:rsid w:val="00E26226"/>
    <w:rsid w:val="00E27346"/>
    <w:rsid w:val="00E303A1"/>
    <w:rsid w:val="00E304F1"/>
    <w:rsid w:val="00E3074E"/>
    <w:rsid w:val="00E30D3F"/>
    <w:rsid w:val="00E31517"/>
    <w:rsid w:val="00E3193A"/>
    <w:rsid w:val="00E32F1E"/>
    <w:rsid w:val="00E330FD"/>
    <w:rsid w:val="00E3382D"/>
    <w:rsid w:val="00E34A10"/>
    <w:rsid w:val="00E34F1A"/>
    <w:rsid w:val="00E3526F"/>
    <w:rsid w:val="00E35D61"/>
    <w:rsid w:val="00E36571"/>
    <w:rsid w:val="00E4061B"/>
    <w:rsid w:val="00E4082B"/>
    <w:rsid w:val="00E41078"/>
    <w:rsid w:val="00E42052"/>
    <w:rsid w:val="00E42224"/>
    <w:rsid w:val="00E426A7"/>
    <w:rsid w:val="00E430E7"/>
    <w:rsid w:val="00E44339"/>
    <w:rsid w:val="00E446A0"/>
    <w:rsid w:val="00E45149"/>
    <w:rsid w:val="00E45683"/>
    <w:rsid w:val="00E465B6"/>
    <w:rsid w:val="00E4665A"/>
    <w:rsid w:val="00E468E1"/>
    <w:rsid w:val="00E50EF3"/>
    <w:rsid w:val="00E50F47"/>
    <w:rsid w:val="00E5122F"/>
    <w:rsid w:val="00E51CA6"/>
    <w:rsid w:val="00E528B6"/>
    <w:rsid w:val="00E52D28"/>
    <w:rsid w:val="00E53649"/>
    <w:rsid w:val="00E53AD1"/>
    <w:rsid w:val="00E548B9"/>
    <w:rsid w:val="00E571AC"/>
    <w:rsid w:val="00E57EBB"/>
    <w:rsid w:val="00E60098"/>
    <w:rsid w:val="00E6182F"/>
    <w:rsid w:val="00E62147"/>
    <w:rsid w:val="00E62929"/>
    <w:rsid w:val="00E6338A"/>
    <w:rsid w:val="00E64318"/>
    <w:rsid w:val="00E64B8F"/>
    <w:rsid w:val="00E6589C"/>
    <w:rsid w:val="00E65B23"/>
    <w:rsid w:val="00E65B56"/>
    <w:rsid w:val="00E65F4E"/>
    <w:rsid w:val="00E663A9"/>
    <w:rsid w:val="00E669A1"/>
    <w:rsid w:val="00E6702C"/>
    <w:rsid w:val="00E70895"/>
    <w:rsid w:val="00E71753"/>
    <w:rsid w:val="00E71A86"/>
    <w:rsid w:val="00E71BC8"/>
    <w:rsid w:val="00E71E70"/>
    <w:rsid w:val="00E7260F"/>
    <w:rsid w:val="00E7274F"/>
    <w:rsid w:val="00E73050"/>
    <w:rsid w:val="00E7337D"/>
    <w:rsid w:val="00E736E8"/>
    <w:rsid w:val="00E74D08"/>
    <w:rsid w:val="00E7510B"/>
    <w:rsid w:val="00E779FC"/>
    <w:rsid w:val="00E80100"/>
    <w:rsid w:val="00E80ACC"/>
    <w:rsid w:val="00E812E2"/>
    <w:rsid w:val="00E81C97"/>
    <w:rsid w:val="00E830EB"/>
    <w:rsid w:val="00E8344E"/>
    <w:rsid w:val="00E83BAB"/>
    <w:rsid w:val="00E84039"/>
    <w:rsid w:val="00E853B5"/>
    <w:rsid w:val="00E860D8"/>
    <w:rsid w:val="00E8640B"/>
    <w:rsid w:val="00E86FBA"/>
    <w:rsid w:val="00E87548"/>
    <w:rsid w:val="00E9083A"/>
    <w:rsid w:val="00E91264"/>
    <w:rsid w:val="00E93697"/>
    <w:rsid w:val="00E939B5"/>
    <w:rsid w:val="00E955F0"/>
    <w:rsid w:val="00E95AD5"/>
    <w:rsid w:val="00E96179"/>
    <w:rsid w:val="00E96630"/>
    <w:rsid w:val="00E97549"/>
    <w:rsid w:val="00E978CB"/>
    <w:rsid w:val="00E97FBD"/>
    <w:rsid w:val="00EA37E5"/>
    <w:rsid w:val="00EA3C62"/>
    <w:rsid w:val="00EA3F26"/>
    <w:rsid w:val="00EA455A"/>
    <w:rsid w:val="00EA590C"/>
    <w:rsid w:val="00EA739B"/>
    <w:rsid w:val="00EA76B7"/>
    <w:rsid w:val="00EA7CA8"/>
    <w:rsid w:val="00EB09C6"/>
    <w:rsid w:val="00EB0E34"/>
    <w:rsid w:val="00EB18B5"/>
    <w:rsid w:val="00EB2581"/>
    <w:rsid w:val="00EB2945"/>
    <w:rsid w:val="00EB2A83"/>
    <w:rsid w:val="00EB2DB2"/>
    <w:rsid w:val="00EB324F"/>
    <w:rsid w:val="00EB32FB"/>
    <w:rsid w:val="00EB390D"/>
    <w:rsid w:val="00EB3B71"/>
    <w:rsid w:val="00EB7D22"/>
    <w:rsid w:val="00EC06D5"/>
    <w:rsid w:val="00EC2E57"/>
    <w:rsid w:val="00EC307E"/>
    <w:rsid w:val="00EC31C1"/>
    <w:rsid w:val="00EC39B2"/>
    <w:rsid w:val="00EC3BEC"/>
    <w:rsid w:val="00EC540E"/>
    <w:rsid w:val="00EC56B8"/>
    <w:rsid w:val="00EC5803"/>
    <w:rsid w:val="00EC7901"/>
    <w:rsid w:val="00EC7C4D"/>
    <w:rsid w:val="00ED0A98"/>
    <w:rsid w:val="00ED125B"/>
    <w:rsid w:val="00ED1CC6"/>
    <w:rsid w:val="00ED2523"/>
    <w:rsid w:val="00ED295F"/>
    <w:rsid w:val="00ED38AB"/>
    <w:rsid w:val="00ED4481"/>
    <w:rsid w:val="00ED4B76"/>
    <w:rsid w:val="00ED4EB0"/>
    <w:rsid w:val="00ED4ED0"/>
    <w:rsid w:val="00ED55F1"/>
    <w:rsid w:val="00ED6DF1"/>
    <w:rsid w:val="00ED6E5D"/>
    <w:rsid w:val="00ED754C"/>
    <w:rsid w:val="00ED7A2A"/>
    <w:rsid w:val="00ED7CD3"/>
    <w:rsid w:val="00EE30A4"/>
    <w:rsid w:val="00EE3B49"/>
    <w:rsid w:val="00EE5491"/>
    <w:rsid w:val="00EE567E"/>
    <w:rsid w:val="00EE5985"/>
    <w:rsid w:val="00EE5BEC"/>
    <w:rsid w:val="00EE6FC6"/>
    <w:rsid w:val="00EF0922"/>
    <w:rsid w:val="00EF1201"/>
    <w:rsid w:val="00EF1D29"/>
    <w:rsid w:val="00EF1D7F"/>
    <w:rsid w:val="00EF2CDF"/>
    <w:rsid w:val="00EF31AB"/>
    <w:rsid w:val="00EF33F0"/>
    <w:rsid w:val="00EF354B"/>
    <w:rsid w:val="00EF4052"/>
    <w:rsid w:val="00EF4377"/>
    <w:rsid w:val="00EF4380"/>
    <w:rsid w:val="00EF4592"/>
    <w:rsid w:val="00EF4ADD"/>
    <w:rsid w:val="00EF5C95"/>
    <w:rsid w:val="00EF61DD"/>
    <w:rsid w:val="00EF6E96"/>
    <w:rsid w:val="00EF7698"/>
    <w:rsid w:val="00F00093"/>
    <w:rsid w:val="00F01557"/>
    <w:rsid w:val="00F020AB"/>
    <w:rsid w:val="00F02625"/>
    <w:rsid w:val="00F02923"/>
    <w:rsid w:val="00F03F0C"/>
    <w:rsid w:val="00F0409D"/>
    <w:rsid w:val="00F04177"/>
    <w:rsid w:val="00F04B18"/>
    <w:rsid w:val="00F04D54"/>
    <w:rsid w:val="00F04D7A"/>
    <w:rsid w:val="00F07146"/>
    <w:rsid w:val="00F12010"/>
    <w:rsid w:val="00F13179"/>
    <w:rsid w:val="00F144A1"/>
    <w:rsid w:val="00F14792"/>
    <w:rsid w:val="00F14820"/>
    <w:rsid w:val="00F151BF"/>
    <w:rsid w:val="00F15631"/>
    <w:rsid w:val="00F16340"/>
    <w:rsid w:val="00F16556"/>
    <w:rsid w:val="00F16A30"/>
    <w:rsid w:val="00F20C3D"/>
    <w:rsid w:val="00F21C41"/>
    <w:rsid w:val="00F21D25"/>
    <w:rsid w:val="00F22E02"/>
    <w:rsid w:val="00F234C7"/>
    <w:rsid w:val="00F23A99"/>
    <w:rsid w:val="00F23CD9"/>
    <w:rsid w:val="00F247F9"/>
    <w:rsid w:val="00F2480D"/>
    <w:rsid w:val="00F24FD3"/>
    <w:rsid w:val="00F256D8"/>
    <w:rsid w:val="00F25AD6"/>
    <w:rsid w:val="00F25BB7"/>
    <w:rsid w:val="00F25F94"/>
    <w:rsid w:val="00F261DA"/>
    <w:rsid w:val="00F3015F"/>
    <w:rsid w:val="00F30F0F"/>
    <w:rsid w:val="00F30FC6"/>
    <w:rsid w:val="00F33250"/>
    <w:rsid w:val="00F337A5"/>
    <w:rsid w:val="00F3441E"/>
    <w:rsid w:val="00F34B24"/>
    <w:rsid w:val="00F3769C"/>
    <w:rsid w:val="00F37D94"/>
    <w:rsid w:val="00F37DFC"/>
    <w:rsid w:val="00F405A9"/>
    <w:rsid w:val="00F40C35"/>
    <w:rsid w:val="00F41882"/>
    <w:rsid w:val="00F41A3B"/>
    <w:rsid w:val="00F42D4E"/>
    <w:rsid w:val="00F43AD1"/>
    <w:rsid w:val="00F43E9E"/>
    <w:rsid w:val="00F47862"/>
    <w:rsid w:val="00F503C3"/>
    <w:rsid w:val="00F50464"/>
    <w:rsid w:val="00F5047A"/>
    <w:rsid w:val="00F514A5"/>
    <w:rsid w:val="00F51582"/>
    <w:rsid w:val="00F5208D"/>
    <w:rsid w:val="00F52782"/>
    <w:rsid w:val="00F5297E"/>
    <w:rsid w:val="00F52F5D"/>
    <w:rsid w:val="00F54950"/>
    <w:rsid w:val="00F54E03"/>
    <w:rsid w:val="00F554CD"/>
    <w:rsid w:val="00F555B6"/>
    <w:rsid w:val="00F56FC6"/>
    <w:rsid w:val="00F6060F"/>
    <w:rsid w:val="00F61876"/>
    <w:rsid w:val="00F636CE"/>
    <w:rsid w:val="00F63764"/>
    <w:rsid w:val="00F653B0"/>
    <w:rsid w:val="00F65EB7"/>
    <w:rsid w:val="00F67DC6"/>
    <w:rsid w:val="00F7159C"/>
    <w:rsid w:val="00F71FCF"/>
    <w:rsid w:val="00F72216"/>
    <w:rsid w:val="00F7264E"/>
    <w:rsid w:val="00F728C6"/>
    <w:rsid w:val="00F736FF"/>
    <w:rsid w:val="00F744BD"/>
    <w:rsid w:val="00F7582E"/>
    <w:rsid w:val="00F776FF"/>
    <w:rsid w:val="00F8091C"/>
    <w:rsid w:val="00F80B95"/>
    <w:rsid w:val="00F81773"/>
    <w:rsid w:val="00F82DC7"/>
    <w:rsid w:val="00F8314E"/>
    <w:rsid w:val="00F837FF"/>
    <w:rsid w:val="00F8545D"/>
    <w:rsid w:val="00F85EC9"/>
    <w:rsid w:val="00F86A3C"/>
    <w:rsid w:val="00F86C7B"/>
    <w:rsid w:val="00F86CA8"/>
    <w:rsid w:val="00F873B8"/>
    <w:rsid w:val="00F9057C"/>
    <w:rsid w:val="00F906D7"/>
    <w:rsid w:val="00F9110A"/>
    <w:rsid w:val="00F9141D"/>
    <w:rsid w:val="00F92A46"/>
    <w:rsid w:val="00F93781"/>
    <w:rsid w:val="00F94C30"/>
    <w:rsid w:val="00F94CF8"/>
    <w:rsid w:val="00F95878"/>
    <w:rsid w:val="00F95FAD"/>
    <w:rsid w:val="00F961AC"/>
    <w:rsid w:val="00F96AA9"/>
    <w:rsid w:val="00FA11E1"/>
    <w:rsid w:val="00FA14DE"/>
    <w:rsid w:val="00FA222B"/>
    <w:rsid w:val="00FA280B"/>
    <w:rsid w:val="00FA3050"/>
    <w:rsid w:val="00FA3C7E"/>
    <w:rsid w:val="00FA479E"/>
    <w:rsid w:val="00FA48D2"/>
    <w:rsid w:val="00FA52E4"/>
    <w:rsid w:val="00FA5BB9"/>
    <w:rsid w:val="00FA6041"/>
    <w:rsid w:val="00FA67D9"/>
    <w:rsid w:val="00FA6B16"/>
    <w:rsid w:val="00FA6E37"/>
    <w:rsid w:val="00FB2382"/>
    <w:rsid w:val="00FB2C9C"/>
    <w:rsid w:val="00FB344B"/>
    <w:rsid w:val="00FB3BA2"/>
    <w:rsid w:val="00FB613B"/>
    <w:rsid w:val="00FB61EE"/>
    <w:rsid w:val="00FB6394"/>
    <w:rsid w:val="00FB6EB4"/>
    <w:rsid w:val="00FB7FAC"/>
    <w:rsid w:val="00FC0B91"/>
    <w:rsid w:val="00FC0C8C"/>
    <w:rsid w:val="00FC10AD"/>
    <w:rsid w:val="00FC1908"/>
    <w:rsid w:val="00FC1BAF"/>
    <w:rsid w:val="00FC28A8"/>
    <w:rsid w:val="00FC2A10"/>
    <w:rsid w:val="00FC2B62"/>
    <w:rsid w:val="00FC6443"/>
    <w:rsid w:val="00FC68B7"/>
    <w:rsid w:val="00FD10BA"/>
    <w:rsid w:val="00FD1154"/>
    <w:rsid w:val="00FD11F2"/>
    <w:rsid w:val="00FD1C0B"/>
    <w:rsid w:val="00FD1C6E"/>
    <w:rsid w:val="00FD1F65"/>
    <w:rsid w:val="00FD21B6"/>
    <w:rsid w:val="00FD2B32"/>
    <w:rsid w:val="00FD3B6D"/>
    <w:rsid w:val="00FD3F74"/>
    <w:rsid w:val="00FD46DF"/>
    <w:rsid w:val="00FD4D17"/>
    <w:rsid w:val="00FD504C"/>
    <w:rsid w:val="00FD5458"/>
    <w:rsid w:val="00FD5CD3"/>
    <w:rsid w:val="00FD732A"/>
    <w:rsid w:val="00FE0243"/>
    <w:rsid w:val="00FE106A"/>
    <w:rsid w:val="00FE16F0"/>
    <w:rsid w:val="00FE1830"/>
    <w:rsid w:val="00FE241C"/>
    <w:rsid w:val="00FE293F"/>
    <w:rsid w:val="00FE51CB"/>
    <w:rsid w:val="00FF10E8"/>
    <w:rsid w:val="00FF1B5B"/>
    <w:rsid w:val="00FF244B"/>
    <w:rsid w:val="00FF3061"/>
    <w:rsid w:val="00FF30BF"/>
    <w:rsid w:val="00FF4D7A"/>
    <w:rsid w:val="00FF53E2"/>
    <w:rsid w:val="00FF5B7D"/>
    <w:rsid w:val="00FF74B3"/>
    <w:rsid w:val="00FF7A8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07933F3E"/>
  <w15:docId w15:val="{523C91B4-DC2C-4248-A383-F4C6CB7E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59"/>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FA222B"/>
    <w:rPr>
      <w:sz w:val="18"/>
      <w:lang w:eastAsia="en-US"/>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uiPriority w:val="99"/>
    <w:rsid w:val="009E3712"/>
    <w:rPr>
      <w:sz w:val="16"/>
      <w:szCs w:val="16"/>
    </w:rPr>
  </w:style>
  <w:style w:type="paragraph" w:styleId="CommentText">
    <w:name w:val="annotation text"/>
    <w:basedOn w:val="Normal"/>
    <w:link w:val="CommentTextChar"/>
    <w:rsid w:val="009E3712"/>
  </w:style>
  <w:style w:type="character" w:customStyle="1" w:styleId="CommentTextChar">
    <w:name w:val="Comment Text Char"/>
    <w:link w:val="CommentText"/>
    <w:rsid w:val="009E3712"/>
    <w:rPr>
      <w:lang w:val="en-GB"/>
    </w:rPr>
  </w:style>
  <w:style w:type="paragraph" w:styleId="CommentSubject">
    <w:name w:val="annotation subject"/>
    <w:basedOn w:val="CommentText"/>
    <w:next w:val="CommentText"/>
    <w:link w:val="CommentSubjectChar"/>
    <w:rsid w:val="009E3712"/>
    <w:rPr>
      <w:b/>
      <w:bCs/>
    </w:rPr>
  </w:style>
  <w:style w:type="character" w:customStyle="1" w:styleId="CommentSubjectChar">
    <w:name w:val="Comment Subject Char"/>
    <w:link w:val="CommentSubject"/>
    <w:rsid w:val="009E3712"/>
    <w:rPr>
      <w:b/>
      <w:bCs/>
      <w:lang w:val="en-GB"/>
    </w:rPr>
  </w:style>
  <w:style w:type="paragraph" w:customStyle="1" w:styleId="ColorfulShading-Accent11">
    <w:name w:val="Colorful Shading - Accent 11"/>
    <w:hidden/>
    <w:uiPriority w:val="71"/>
    <w:semiHidden/>
    <w:rsid w:val="00494C15"/>
    <w:rPr>
      <w:lang w:eastAsia="en-US"/>
    </w:rPr>
  </w:style>
  <w:style w:type="paragraph" w:customStyle="1" w:styleId="ColorfulList-Accent11">
    <w:name w:val="Colorful List - Accent 11"/>
    <w:basedOn w:val="Normal"/>
    <w:uiPriority w:val="34"/>
    <w:qFormat/>
    <w:rsid w:val="00A760DE"/>
    <w:pPr>
      <w:ind w:left="720"/>
      <w:contextualSpacing/>
    </w:pPr>
  </w:style>
  <w:style w:type="paragraph" w:customStyle="1" w:styleId="MediumGrid21">
    <w:name w:val="Medium Grid 21"/>
    <w:uiPriority w:val="1"/>
    <w:qFormat/>
    <w:rsid w:val="002F4AF0"/>
    <w:rPr>
      <w:rFonts w:ascii="Calibri" w:eastAsia="Calibri" w:hAnsi="Calibri"/>
      <w:sz w:val="22"/>
      <w:szCs w:val="22"/>
      <w:lang w:eastAsia="en-US"/>
    </w:rPr>
  </w:style>
  <w:style w:type="paragraph" w:styleId="Revision">
    <w:name w:val="Revision"/>
    <w:hidden/>
    <w:uiPriority w:val="99"/>
    <w:unhideWhenUsed/>
    <w:rsid w:val="00AC51C1"/>
    <w:rPr>
      <w:lang w:eastAsia="en-US"/>
    </w:rPr>
  </w:style>
  <w:style w:type="character" w:styleId="LineNumber">
    <w:name w:val="line number"/>
    <w:semiHidden/>
    <w:unhideWhenUsed/>
    <w:rsid w:val="004E7107"/>
  </w:style>
  <w:style w:type="paragraph" w:styleId="ListParagraph">
    <w:name w:val="List Paragraph"/>
    <w:basedOn w:val="Normal"/>
    <w:uiPriority w:val="34"/>
    <w:qFormat/>
    <w:rsid w:val="00CA3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73979">
      <w:bodyDiv w:val="1"/>
      <w:marLeft w:val="0"/>
      <w:marRight w:val="0"/>
      <w:marTop w:val="0"/>
      <w:marBottom w:val="0"/>
      <w:divBdr>
        <w:top w:val="none" w:sz="0" w:space="0" w:color="auto"/>
        <w:left w:val="none" w:sz="0" w:space="0" w:color="auto"/>
        <w:bottom w:val="none" w:sz="0" w:space="0" w:color="auto"/>
        <w:right w:val="none" w:sz="0" w:space="0" w:color="auto"/>
      </w:divBdr>
    </w:div>
    <w:div w:id="370153359">
      <w:bodyDiv w:val="1"/>
      <w:marLeft w:val="0"/>
      <w:marRight w:val="0"/>
      <w:marTop w:val="0"/>
      <w:marBottom w:val="0"/>
      <w:divBdr>
        <w:top w:val="none" w:sz="0" w:space="0" w:color="auto"/>
        <w:left w:val="none" w:sz="0" w:space="0" w:color="auto"/>
        <w:bottom w:val="none" w:sz="0" w:space="0" w:color="auto"/>
        <w:right w:val="none" w:sz="0" w:space="0" w:color="auto"/>
      </w:divBdr>
    </w:div>
    <w:div w:id="372849922">
      <w:bodyDiv w:val="1"/>
      <w:marLeft w:val="0"/>
      <w:marRight w:val="0"/>
      <w:marTop w:val="0"/>
      <w:marBottom w:val="0"/>
      <w:divBdr>
        <w:top w:val="none" w:sz="0" w:space="0" w:color="auto"/>
        <w:left w:val="none" w:sz="0" w:space="0" w:color="auto"/>
        <w:bottom w:val="none" w:sz="0" w:space="0" w:color="auto"/>
        <w:right w:val="none" w:sz="0" w:space="0" w:color="auto"/>
      </w:divBdr>
    </w:div>
    <w:div w:id="601377882">
      <w:bodyDiv w:val="1"/>
      <w:marLeft w:val="0"/>
      <w:marRight w:val="0"/>
      <w:marTop w:val="0"/>
      <w:marBottom w:val="0"/>
      <w:divBdr>
        <w:top w:val="none" w:sz="0" w:space="0" w:color="auto"/>
        <w:left w:val="none" w:sz="0" w:space="0" w:color="auto"/>
        <w:bottom w:val="none" w:sz="0" w:space="0" w:color="auto"/>
        <w:right w:val="none" w:sz="0" w:space="0" w:color="auto"/>
      </w:divBdr>
    </w:div>
    <w:div w:id="969869738">
      <w:bodyDiv w:val="1"/>
      <w:marLeft w:val="0"/>
      <w:marRight w:val="0"/>
      <w:marTop w:val="0"/>
      <w:marBottom w:val="0"/>
      <w:divBdr>
        <w:top w:val="none" w:sz="0" w:space="0" w:color="auto"/>
        <w:left w:val="none" w:sz="0" w:space="0" w:color="auto"/>
        <w:bottom w:val="none" w:sz="0" w:space="0" w:color="auto"/>
        <w:right w:val="none" w:sz="0" w:space="0" w:color="auto"/>
      </w:divBdr>
    </w:div>
    <w:div w:id="1821849019">
      <w:bodyDiv w:val="1"/>
      <w:marLeft w:val="0"/>
      <w:marRight w:val="0"/>
      <w:marTop w:val="0"/>
      <w:marBottom w:val="0"/>
      <w:divBdr>
        <w:top w:val="none" w:sz="0" w:space="0" w:color="auto"/>
        <w:left w:val="none" w:sz="0" w:space="0" w:color="auto"/>
        <w:bottom w:val="none" w:sz="0" w:space="0" w:color="auto"/>
        <w:right w:val="none" w:sz="0" w:space="0" w:color="auto"/>
      </w:divBdr>
    </w:div>
    <w:div w:id="1937714419">
      <w:bodyDiv w:val="1"/>
      <w:marLeft w:val="0"/>
      <w:marRight w:val="0"/>
      <w:marTop w:val="0"/>
      <w:marBottom w:val="0"/>
      <w:divBdr>
        <w:top w:val="none" w:sz="0" w:space="0" w:color="auto"/>
        <w:left w:val="none" w:sz="0" w:space="0" w:color="auto"/>
        <w:bottom w:val="none" w:sz="0" w:space="0" w:color="auto"/>
        <w:right w:val="none" w:sz="0" w:space="0" w:color="auto"/>
      </w:divBdr>
    </w:div>
    <w:div w:id="1944145985">
      <w:bodyDiv w:val="1"/>
      <w:marLeft w:val="0"/>
      <w:marRight w:val="0"/>
      <w:marTop w:val="0"/>
      <w:marBottom w:val="0"/>
      <w:divBdr>
        <w:top w:val="none" w:sz="0" w:space="0" w:color="auto"/>
        <w:left w:val="none" w:sz="0" w:space="0" w:color="auto"/>
        <w:bottom w:val="none" w:sz="0" w:space="0" w:color="auto"/>
        <w:right w:val="none" w:sz="0" w:space="0" w:color="auto"/>
      </w:divBdr>
    </w:div>
    <w:div w:id="199113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sylumlawdatabase.eu/sites/www.asylumlawdatabase.eu/files/aldfiles/Research%20Note%20-%20Reception%20conditions%2C%20detention%20and%20procedural%20safeguards%20for%20asylum%20seekers%20and%20content%20of%20international%20protection%20status%20in%20Bulgaria.pdf" TargetMode="External"/><Relationship Id="rId2" Type="http://schemas.openxmlformats.org/officeDocument/2006/relationships/hyperlink" Target="http://bit.ly/1GHj8EN" TargetMode="External"/><Relationship Id="rId1" Type="http://schemas.openxmlformats.org/officeDocument/2006/relationships/hyperlink" Target="http://www.asylumineurope.org/reports/country/bulgaria" TargetMode="External"/><Relationship Id="rId5" Type="http://schemas.openxmlformats.org/officeDocument/2006/relationships/hyperlink" Target="http://www.asylumineurope.org/sites/default/files/report-download/aida_bg_2017update.pdf" TargetMode="External"/><Relationship Id="rId4" Type="http://schemas.openxmlformats.org/officeDocument/2006/relationships/hyperlink" Target="https://www.ecoi.net/en/document/1430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93522-30BB-4235-BE4A-BA024F067E72}"/>
</file>

<file path=customXml/itemProps2.xml><?xml version="1.0" encoding="utf-8"?>
<ds:datastoreItem xmlns:ds="http://schemas.openxmlformats.org/officeDocument/2006/customXml" ds:itemID="{39DE63B3-BC04-489B-87C2-2E142E556CB4}"/>
</file>

<file path=customXml/itemProps3.xml><?xml version="1.0" encoding="utf-8"?>
<ds:datastoreItem xmlns:ds="http://schemas.openxmlformats.org/officeDocument/2006/customXml" ds:itemID="{852F9682-E1B1-4D99-968C-71CD85C5EC0E}"/>
</file>

<file path=customXml/itemProps4.xml><?xml version="1.0" encoding="utf-8"?>
<ds:datastoreItem xmlns:ds="http://schemas.openxmlformats.org/officeDocument/2006/customXml" ds:itemID="{22B95D51-F166-46B5-999B-1B999B276744}"/>
</file>

<file path=docProps/app.xml><?xml version="1.0" encoding="utf-8"?>
<Properties xmlns="http://schemas.openxmlformats.org/officeDocument/2006/extended-properties" xmlns:vt="http://schemas.openxmlformats.org/officeDocument/2006/docPropsVTypes">
  <Template>Normal.dotm</Template>
  <TotalTime>13</TotalTime>
  <Pages>16</Pages>
  <Words>8022</Words>
  <Characters>45730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CCPR/C/125/DR/2923/2016</vt:lpstr>
    </vt:vector>
  </TitlesOfParts>
  <Company>CSD</Company>
  <LinksUpToDate>false</LinksUpToDate>
  <CharactersWithSpaces>53645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CCPR/C/125/DR/2923/2016</dc:title>
  <dc:subject>1903714</dc:subject>
  <dc:creator>Generic Desk Anglais</dc:creator>
  <cp:keywords/>
  <dc:description/>
  <cp:lastModifiedBy>ABDELAZIM Mohamed</cp:lastModifiedBy>
  <cp:revision>9</cp:revision>
  <cp:lastPrinted>2019-04-18T13:31:00Z</cp:lastPrinted>
  <dcterms:created xsi:type="dcterms:W3CDTF">2019-04-18T07:01:00Z</dcterms:created>
  <dcterms:modified xsi:type="dcterms:W3CDTF">2019-04-18T13:53:00Z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