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0DC0" w14:paraId="1F9D29B8" w14:textId="77777777">
        <w:trPr>
          <w:cantSplit/>
          <w:trHeight w:hRule="exact" w:val="851"/>
        </w:trPr>
        <w:tc>
          <w:tcPr>
            <w:tcW w:w="1276" w:type="dxa"/>
            <w:tcBorders>
              <w:bottom w:val="single" w:sz="4" w:space="0" w:color="auto"/>
            </w:tcBorders>
            <w:vAlign w:val="bottom"/>
          </w:tcPr>
          <w:p w14:paraId="58B54015" w14:textId="77777777" w:rsidR="00D50DC0" w:rsidRDefault="00D50DC0" w:rsidP="00D50DC0">
            <w:pPr>
              <w:spacing w:after="80"/>
            </w:pPr>
          </w:p>
        </w:tc>
        <w:tc>
          <w:tcPr>
            <w:tcW w:w="2268" w:type="dxa"/>
            <w:tcBorders>
              <w:bottom w:val="single" w:sz="4" w:space="0" w:color="auto"/>
            </w:tcBorders>
            <w:vAlign w:val="bottom"/>
          </w:tcPr>
          <w:p w14:paraId="3C6859C5" w14:textId="77777777" w:rsidR="00D50DC0" w:rsidRPr="00B97172" w:rsidRDefault="00D50DC0" w:rsidP="00D50DC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48A2E0" w14:textId="037A3FC7" w:rsidR="00D50DC0" w:rsidRPr="00D47EEA" w:rsidRDefault="00D50DC0" w:rsidP="003A5280">
            <w:pPr>
              <w:jc w:val="right"/>
            </w:pPr>
            <w:r w:rsidRPr="00A36331">
              <w:rPr>
                <w:sz w:val="40"/>
              </w:rPr>
              <w:t>CCPR</w:t>
            </w:r>
            <w:r w:rsidR="00195082">
              <w:t>/C/12</w:t>
            </w:r>
            <w:r w:rsidR="005A2C84">
              <w:t>5</w:t>
            </w:r>
            <w:r w:rsidR="00195082">
              <w:t>/D/2</w:t>
            </w:r>
            <w:r w:rsidR="00CB6ACB">
              <w:t>536</w:t>
            </w:r>
            <w:r w:rsidR="001358AC">
              <w:t>/2015</w:t>
            </w:r>
          </w:p>
        </w:tc>
      </w:tr>
      <w:tr w:rsidR="00D50DC0" w14:paraId="567B9BE0" w14:textId="77777777">
        <w:trPr>
          <w:cantSplit/>
          <w:trHeight w:hRule="exact" w:val="2835"/>
        </w:trPr>
        <w:tc>
          <w:tcPr>
            <w:tcW w:w="1276" w:type="dxa"/>
            <w:tcBorders>
              <w:top w:val="single" w:sz="4" w:space="0" w:color="auto"/>
              <w:bottom w:val="single" w:sz="12" w:space="0" w:color="auto"/>
            </w:tcBorders>
          </w:tcPr>
          <w:p w14:paraId="6B56301D" w14:textId="77777777" w:rsidR="00D50DC0" w:rsidRDefault="004C7D7A" w:rsidP="00D50DC0">
            <w:pPr>
              <w:spacing w:before="120"/>
            </w:pPr>
            <w:r>
              <w:rPr>
                <w:noProof/>
                <w:lang w:eastAsia="en-GB"/>
              </w:rPr>
              <w:drawing>
                <wp:inline distT="0" distB="0" distL="0" distR="0" wp14:anchorId="4FE03018" wp14:editId="66A1EF12">
                  <wp:extent cx="71120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531C14" w14:textId="77777777" w:rsidR="00D50DC0" w:rsidRDefault="00D50DC0" w:rsidP="00D50DC0">
            <w:pPr>
              <w:spacing w:before="120" w:line="380" w:lineRule="exact"/>
              <w:rPr>
                <w:b/>
                <w:sz w:val="34"/>
                <w:szCs w:val="40"/>
              </w:rPr>
            </w:pPr>
            <w:r w:rsidRPr="00267F5F">
              <w:rPr>
                <w:b/>
                <w:sz w:val="34"/>
                <w:szCs w:val="40"/>
              </w:rPr>
              <w:t xml:space="preserve">International </w:t>
            </w:r>
            <w:r>
              <w:rPr>
                <w:b/>
                <w:sz w:val="34"/>
                <w:szCs w:val="40"/>
              </w:rPr>
              <w:t>Covenant on</w:t>
            </w:r>
            <w:r w:rsidR="00BD2E76">
              <w:rPr>
                <w:b/>
                <w:sz w:val="34"/>
                <w:szCs w:val="40"/>
              </w:rPr>
              <w:t xml:space="preserve"> </w:t>
            </w:r>
            <w:r>
              <w:rPr>
                <w:b/>
                <w:sz w:val="34"/>
                <w:szCs w:val="40"/>
              </w:rPr>
              <w:br/>
              <w:t>Civil and Political R</w:t>
            </w:r>
            <w:r w:rsidRPr="00267F5F">
              <w:rPr>
                <w:b/>
                <w:sz w:val="34"/>
                <w:szCs w:val="40"/>
              </w:rPr>
              <w:t>ights</w:t>
            </w:r>
          </w:p>
          <w:p w14:paraId="16F815B4" w14:textId="77777777" w:rsidR="002E6586" w:rsidRDefault="002E6586" w:rsidP="002E6586">
            <w:pPr>
              <w:spacing w:before="120" w:line="380" w:lineRule="exact"/>
              <w:rPr>
                <w:sz w:val="34"/>
                <w:szCs w:val="40"/>
              </w:rPr>
            </w:pPr>
            <w:r w:rsidRPr="000921E9">
              <w:rPr>
                <w:sz w:val="34"/>
                <w:szCs w:val="40"/>
              </w:rPr>
              <w:t>Advance unedited version</w:t>
            </w:r>
          </w:p>
          <w:p w14:paraId="77A18588" w14:textId="4A7DD485" w:rsidR="00425FB4" w:rsidRDefault="00425FB4" w:rsidP="00425FB4">
            <w:pPr>
              <w:spacing w:before="120" w:line="380" w:lineRule="exact"/>
              <w:rPr>
                <w:sz w:val="34"/>
                <w:szCs w:val="40"/>
              </w:rPr>
            </w:pPr>
          </w:p>
          <w:p w14:paraId="6480B22F" w14:textId="750C2778" w:rsidR="00425FB4" w:rsidRPr="00267F5F" w:rsidRDefault="00425FB4" w:rsidP="00D50DC0">
            <w:pPr>
              <w:spacing w:before="120" w:line="380" w:lineRule="exact"/>
              <w:rPr>
                <w:sz w:val="34"/>
              </w:rPr>
            </w:pPr>
          </w:p>
        </w:tc>
        <w:tc>
          <w:tcPr>
            <w:tcW w:w="2835" w:type="dxa"/>
            <w:tcBorders>
              <w:top w:val="single" w:sz="4" w:space="0" w:color="auto"/>
              <w:bottom w:val="single" w:sz="12" w:space="0" w:color="auto"/>
            </w:tcBorders>
          </w:tcPr>
          <w:p w14:paraId="38409369" w14:textId="1F0E3542" w:rsidR="00D50DC0" w:rsidRDefault="00D50DC0" w:rsidP="00D50DC0">
            <w:pPr>
              <w:spacing w:before="240" w:line="240" w:lineRule="exact"/>
            </w:pPr>
            <w:r>
              <w:t xml:space="preserve">Distr.: </w:t>
            </w:r>
            <w:r w:rsidR="00DF536C">
              <w:t>General</w:t>
            </w:r>
          </w:p>
          <w:p w14:paraId="2063F0EC" w14:textId="2D64E125" w:rsidR="00D50DC0" w:rsidRDefault="00D22944" w:rsidP="002E455B">
            <w:pPr>
              <w:spacing w:line="240" w:lineRule="exact"/>
            </w:pPr>
            <w:r>
              <w:t>2</w:t>
            </w:r>
            <w:r w:rsidR="00B35F90">
              <w:t>9</w:t>
            </w:r>
            <w:bookmarkStart w:id="0" w:name="_GoBack"/>
            <w:bookmarkEnd w:id="0"/>
            <w:r w:rsidR="00C05644">
              <w:t xml:space="preserve"> April</w:t>
            </w:r>
            <w:r w:rsidR="00C94B48">
              <w:t xml:space="preserve"> 2019</w:t>
            </w:r>
          </w:p>
          <w:p w14:paraId="351E560B" w14:textId="77777777" w:rsidR="00D50DC0" w:rsidRDefault="00D50DC0" w:rsidP="00D50DC0">
            <w:pPr>
              <w:spacing w:line="240" w:lineRule="exact"/>
            </w:pPr>
          </w:p>
          <w:p w14:paraId="6BB4D89D" w14:textId="77777777" w:rsidR="00D50DC0" w:rsidRDefault="00D50DC0" w:rsidP="00D50DC0">
            <w:pPr>
              <w:spacing w:line="240" w:lineRule="exact"/>
            </w:pPr>
            <w:r>
              <w:t>Original: English</w:t>
            </w:r>
          </w:p>
          <w:p w14:paraId="67D7A256" w14:textId="4B6F7455" w:rsidR="002E455B" w:rsidRDefault="002E455B" w:rsidP="00D50DC0">
            <w:pPr>
              <w:spacing w:line="240" w:lineRule="exact"/>
            </w:pPr>
          </w:p>
        </w:tc>
      </w:tr>
    </w:tbl>
    <w:p w14:paraId="5F17CA06" w14:textId="77777777" w:rsidR="00D50DC0" w:rsidRPr="00A36331" w:rsidRDefault="00D50DC0" w:rsidP="00D50DC0">
      <w:pPr>
        <w:spacing w:before="120"/>
        <w:rPr>
          <w:b/>
          <w:sz w:val="24"/>
          <w:szCs w:val="24"/>
        </w:rPr>
      </w:pPr>
      <w:r w:rsidRPr="00A36331">
        <w:rPr>
          <w:b/>
          <w:sz w:val="24"/>
          <w:szCs w:val="24"/>
        </w:rPr>
        <w:t>Human Rights Committee</w:t>
      </w:r>
    </w:p>
    <w:p w14:paraId="45376BFD" w14:textId="3E3FE2E7" w:rsidR="00195082" w:rsidRPr="00195082" w:rsidRDefault="00D50DC0" w:rsidP="007C0AF8">
      <w:pPr>
        <w:pStyle w:val="HChG"/>
        <w:spacing w:before="240"/>
        <w:outlineLvl w:val="0"/>
      </w:pPr>
      <w:r w:rsidRPr="00A36331">
        <w:tab/>
      </w:r>
      <w:r w:rsidRPr="00A36331">
        <w:tab/>
      </w:r>
      <w:r w:rsidR="00C05644" w:rsidRPr="002F00E9">
        <w:t>Views adopted by the Committee under article 5 (4) of the Optional Protocol, concerning</w:t>
      </w:r>
      <w:r w:rsidR="00C05644" w:rsidRPr="00CF52A8">
        <w:t xml:space="preserve"> </w:t>
      </w:r>
      <w:r w:rsidR="00C05644">
        <w:t>c</w:t>
      </w:r>
      <w:r w:rsidRPr="00A36331">
        <w:t xml:space="preserve">ommunication No. </w:t>
      </w:r>
      <w:r w:rsidR="00195082">
        <w:t>2</w:t>
      </w:r>
      <w:r w:rsidR="004D6C11">
        <w:t>5</w:t>
      </w:r>
      <w:r w:rsidR="00CB6ACB">
        <w:t>36</w:t>
      </w:r>
      <w:r w:rsidR="00195082">
        <w:t>/201</w:t>
      </w:r>
      <w:r w:rsidR="001358AC">
        <w:t>5</w:t>
      </w:r>
      <w:r w:rsidR="00DF536C" w:rsidRPr="00BD2E76">
        <w:rPr>
          <w:rStyle w:val="FootnoteReference"/>
          <w:sz w:val="20"/>
          <w:vertAlign w:val="baseline"/>
        </w:rPr>
        <w:footnoteReference w:customMarkFollows="1" w:id="2"/>
        <w:t>*</w:t>
      </w:r>
      <w:r w:rsidR="00D22944">
        <w:rPr>
          <w:sz w:val="20"/>
        </w:rPr>
        <w:t>,</w:t>
      </w:r>
      <w:r w:rsidR="003077D7" w:rsidRPr="00BD2E76">
        <w:rPr>
          <w:rStyle w:val="FootnoteReference"/>
          <w:b w:val="0"/>
          <w:sz w:val="20"/>
          <w:vertAlign w:val="baseline"/>
        </w:rPr>
        <w:footnoteReference w:customMarkFollows="1" w:id="3"/>
        <w:t>**</w:t>
      </w:r>
      <w:proofErr w:type="gramStart"/>
      <w:r w:rsidR="00D22944">
        <w:rPr>
          <w:b w:val="0"/>
          <w:sz w:val="20"/>
        </w:rPr>
        <w:t>,</w:t>
      </w:r>
      <w:proofErr w:type="gramEnd"/>
      <w:r w:rsidR="00D22944" w:rsidRPr="003B4309">
        <w:rPr>
          <w:rStyle w:val="FootnoteReference"/>
          <w:b w:val="0"/>
          <w:sz w:val="20"/>
          <w:vertAlign w:val="baseline"/>
        </w:rPr>
        <w:footnoteReference w:customMarkFollows="1" w:id="4"/>
        <w:t>***</w:t>
      </w:r>
    </w:p>
    <w:p w14:paraId="7A36ACC9" w14:textId="509FAEDB" w:rsidR="00D50DC0" w:rsidRPr="00A36331" w:rsidRDefault="00D50DC0" w:rsidP="007C0AF8">
      <w:pPr>
        <w:pStyle w:val="H1G"/>
        <w:spacing w:before="240"/>
        <w:outlineLvl w:val="0"/>
      </w:pPr>
      <w:r w:rsidRPr="00A36331">
        <w:tab/>
      </w:r>
      <w:r w:rsidRPr="00A36331">
        <w:tab/>
      </w:r>
    </w:p>
    <w:p w14:paraId="1E8FA018" w14:textId="77777777" w:rsidR="00D50DC0" w:rsidRPr="00A36331" w:rsidRDefault="00D50DC0" w:rsidP="00D50DC0">
      <w:pPr>
        <w:pStyle w:val="SingleTxtG"/>
        <w:ind w:left="4536" w:hanging="3402"/>
      </w:pPr>
      <w:r w:rsidRPr="00A36331">
        <w:rPr>
          <w:i/>
        </w:rPr>
        <w:t>Submitted by:</w:t>
      </w:r>
      <w:r w:rsidRPr="00A36331">
        <w:tab/>
      </w:r>
      <w:proofErr w:type="spellStart"/>
      <w:r w:rsidR="00AC3DB0">
        <w:t>Hadji</w:t>
      </w:r>
      <w:proofErr w:type="spellEnd"/>
      <w:r w:rsidR="00AC3DB0">
        <w:t xml:space="preserve"> Hamid </w:t>
      </w:r>
      <w:proofErr w:type="spellStart"/>
      <w:r w:rsidR="00AC3DB0">
        <w:t>Japalali</w:t>
      </w:r>
      <w:proofErr w:type="spellEnd"/>
      <w:r w:rsidR="001358AC">
        <w:t xml:space="preserve"> </w:t>
      </w:r>
      <w:r w:rsidR="00195082">
        <w:t xml:space="preserve">(represented by </w:t>
      </w:r>
      <w:r w:rsidR="006F43FA">
        <w:t>the Free Legal Assistance Group</w:t>
      </w:r>
      <w:r w:rsidR="00195082">
        <w:t>)</w:t>
      </w:r>
    </w:p>
    <w:p w14:paraId="06FD82FA" w14:textId="77777777" w:rsidR="00D50DC0" w:rsidRPr="00A36331" w:rsidRDefault="00D50DC0" w:rsidP="00D50DC0">
      <w:pPr>
        <w:pStyle w:val="SingleTxtG"/>
        <w:ind w:left="4536" w:hanging="3402"/>
      </w:pPr>
      <w:r w:rsidRPr="00A36331">
        <w:rPr>
          <w:i/>
        </w:rPr>
        <w:t>Alleged victim</w:t>
      </w:r>
      <w:r w:rsidR="00B80E5C">
        <w:rPr>
          <w:i/>
        </w:rPr>
        <w:t>s</w:t>
      </w:r>
      <w:r w:rsidRPr="00A36331">
        <w:rPr>
          <w:i/>
        </w:rPr>
        <w:t>:</w:t>
      </w:r>
      <w:r w:rsidRPr="00A36331">
        <w:tab/>
      </w:r>
      <w:r w:rsidR="006F43FA">
        <w:t xml:space="preserve">Bakar </w:t>
      </w:r>
      <w:proofErr w:type="spellStart"/>
      <w:r w:rsidR="006F43FA">
        <w:t>Japalali</w:t>
      </w:r>
      <w:proofErr w:type="spellEnd"/>
      <w:r w:rsidR="006F43FA">
        <w:t xml:space="preserve"> and Carmen </w:t>
      </w:r>
      <w:proofErr w:type="spellStart"/>
      <w:r w:rsidR="006F43FA">
        <w:t>Baloyo-Japalali</w:t>
      </w:r>
      <w:proofErr w:type="spellEnd"/>
    </w:p>
    <w:p w14:paraId="46966485" w14:textId="77777777" w:rsidR="00D50DC0" w:rsidRPr="00A36331" w:rsidRDefault="00D50DC0" w:rsidP="00D50DC0">
      <w:pPr>
        <w:pStyle w:val="SingleTxtG"/>
        <w:ind w:left="4536" w:hanging="3402"/>
        <w:rPr>
          <w:lang w:val="en-US"/>
        </w:rPr>
      </w:pPr>
      <w:r w:rsidRPr="00A36331">
        <w:rPr>
          <w:i/>
        </w:rPr>
        <w:t>State Party:</w:t>
      </w:r>
      <w:r w:rsidRPr="00A36331">
        <w:tab/>
      </w:r>
      <w:r w:rsidR="00B80E5C">
        <w:t xml:space="preserve">The </w:t>
      </w:r>
      <w:r w:rsidR="00AC3DB0">
        <w:t>Philippines</w:t>
      </w:r>
    </w:p>
    <w:p w14:paraId="129B28E5" w14:textId="77777777" w:rsidR="00D50DC0" w:rsidRPr="00A36331" w:rsidRDefault="00D50DC0" w:rsidP="00D50DC0">
      <w:pPr>
        <w:pStyle w:val="SingleTxtG"/>
        <w:ind w:left="4536" w:hanging="3402"/>
      </w:pPr>
      <w:r w:rsidRPr="00A36331">
        <w:rPr>
          <w:i/>
        </w:rPr>
        <w:t>Date of communication:</w:t>
      </w:r>
      <w:r w:rsidRPr="00A36331">
        <w:tab/>
      </w:r>
      <w:r w:rsidR="00AC3DB0">
        <w:t>1 September 2014</w:t>
      </w:r>
    </w:p>
    <w:p w14:paraId="657CA637" w14:textId="77777777" w:rsidR="00D50DC0" w:rsidRPr="00A36331" w:rsidRDefault="00D50DC0" w:rsidP="00D50DC0">
      <w:pPr>
        <w:pStyle w:val="SingleTxtG"/>
        <w:ind w:left="4536" w:hanging="3402"/>
      </w:pPr>
      <w:r w:rsidRPr="00A36331">
        <w:rPr>
          <w:i/>
        </w:rPr>
        <w:t>Document references:</w:t>
      </w:r>
      <w:r w:rsidR="004D6C11">
        <w:tab/>
        <w:t>Special Rapporteur</w:t>
      </w:r>
      <w:r w:rsidRPr="00A36331">
        <w:t>s</w:t>
      </w:r>
      <w:r w:rsidR="004D6C11">
        <w:t>’</w:t>
      </w:r>
      <w:r w:rsidRPr="00A36331">
        <w:t xml:space="preserve"> rule</w:t>
      </w:r>
      <w:r w:rsidR="008D57EA">
        <w:t xml:space="preserve"> 97 decision</w:t>
      </w:r>
      <w:r w:rsidRPr="00A36331">
        <w:t xml:space="preserve"> transmitted to the State party on </w:t>
      </w:r>
      <w:r w:rsidR="008D57EA">
        <w:t>20</w:t>
      </w:r>
      <w:r w:rsidR="004D6C11">
        <w:t xml:space="preserve"> January</w:t>
      </w:r>
      <w:r w:rsidR="001358AC">
        <w:t xml:space="preserve"> 2015</w:t>
      </w:r>
      <w:r w:rsidRPr="00A36331">
        <w:t xml:space="preserve"> (not issued in document form)</w:t>
      </w:r>
    </w:p>
    <w:p w14:paraId="7A0181B1" w14:textId="1903DD21" w:rsidR="00D50DC0" w:rsidRPr="00A36331" w:rsidRDefault="00D50DC0" w:rsidP="00D86CA1">
      <w:pPr>
        <w:pStyle w:val="SingleTxtG"/>
        <w:ind w:left="4536" w:hanging="3402"/>
        <w:rPr>
          <w:lang w:val="en-US"/>
        </w:rPr>
      </w:pPr>
      <w:r w:rsidRPr="00A36331">
        <w:rPr>
          <w:i/>
        </w:rPr>
        <w:t>Date of adoption of Views:</w:t>
      </w:r>
      <w:r w:rsidRPr="00A36331">
        <w:tab/>
      </w:r>
      <w:r w:rsidR="00C05644">
        <w:t>2</w:t>
      </w:r>
      <w:r w:rsidR="00DF536C">
        <w:t xml:space="preserve">8 </w:t>
      </w:r>
      <w:r w:rsidR="00D86CA1">
        <w:t xml:space="preserve">March </w:t>
      </w:r>
      <w:r w:rsidR="004D6C11">
        <w:t>201</w:t>
      </w:r>
      <w:r w:rsidR="00D86CA1">
        <w:t>9</w:t>
      </w:r>
    </w:p>
    <w:p w14:paraId="26D94ADB" w14:textId="77777777" w:rsidR="00D50DC0" w:rsidRPr="00F655CA" w:rsidRDefault="00D50DC0" w:rsidP="00D50DC0">
      <w:pPr>
        <w:pStyle w:val="SingleTxtG"/>
        <w:ind w:left="4536" w:hanging="3402"/>
      </w:pPr>
      <w:r w:rsidRPr="00F655CA">
        <w:rPr>
          <w:i/>
          <w:iCs/>
        </w:rPr>
        <w:t xml:space="preserve">Subject matter: </w:t>
      </w:r>
      <w:r w:rsidRPr="00F655CA">
        <w:rPr>
          <w:i/>
          <w:iCs/>
        </w:rPr>
        <w:tab/>
      </w:r>
      <w:r w:rsidR="00A466A4">
        <w:rPr>
          <w:iCs/>
        </w:rPr>
        <w:t>Extrajudicial execution</w:t>
      </w:r>
      <w:r w:rsidR="000C6BCB">
        <w:rPr>
          <w:iCs/>
        </w:rPr>
        <w:t xml:space="preserve"> by the military</w:t>
      </w:r>
    </w:p>
    <w:p w14:paraId="7919683B" w14:textId="77777777" w:rsidR="00D50DC0" w:rsidRPr="00F655CA" w:rsidRDefault="00D50DC0" w:rsidP="00D50DC0">
      <w:pPr>
        <w:pStyle w:val="SingleTxtG"/>
        <w:ind w:left="4536" w:hanging="3402"/>
        <w:rPr>
          <w:lang w:val="en-US"/>
        </w:rPr>
      </w:pPr>
      <w:r w:rsidRPr="00F655CA">
        <w:rPr>
          <w:i/>
          <w:iCs/>
          <w:lang w:val="en-US"/>
        </w:rPr>
        <w:t>Procedural issues</w:t>
      </w:r>
      <w:r w:rsidR="001358AC">
        <w:rPr>
          <w:lang w:val="en-US"/>
        </w:rPr>
        <w:t xml:space="preserve">: </w:t>
      </w:r>
      <w:r w:rsidR="001358AC">
        <w:rPr>
          <w:lang w:val="en-US"/>
        </w:rPr>
        <w:tab/>
      </w:r>
      <w:r w:rsidR="0020407E">
        <w:rPr>
          <w:lang w:val="en-US"/>
        </w:rPr>
        <w:t xml:space="preserve">Exhaustion of domestic remedies, </w:t>
      </w:r>
      <w:r w:rsidR="009F552A">
        <w:rPr>
          <w:lang w:val="en-US"/>
        </w:rPr>
        <w:t>i</w:t>
      </w:r>
      <w:r w:rsidR="00B35075" w:rsidRPr="00B35075">
        <w:rPr>
          <w:lang w:val="en-US"/>
        </w:rPr>
        <w:t>nsufficient substantiation of claims</w:t>
      </w:r>
      <w:r w:rsidR="009F552A">
        <w:rPr>
          <w:lang w:val="en-US"/>
        </w:rPr>
        <w:t xml:space="preserve">, incompatibility </w:t>
      </w:r>
      <w:proofErr w:type="spellStart"/>
      <w:r w:rsidR="00375572">
        <w:rPr>
          <w:lang w:val="en-US"/>
        </w:rPr>
        <w:t>ratione</w:t>
      </w:r>
      <w:proofErr w:type="spellEnd"/>
      <w:r w:rsidR="00375572">
        <w:rPr>
          <w:lang w:val="en-US"/>
        </w:rPr>
        <w:t xml:space="preserve"> </w:t>
      </w:r>
      <w:proofErr w:type="spellStart"/>
      <w:r w:rsidR="00375572">
        <w:rPr>
          <w:lang w:val="en-US"/>
        </w:rPr>
        <w:t>materiae</w:t>
      </w:r>
      <w:proofErr w:type="spellEnd"/>
    </w:p>
    <w:p w14:paraId="5EC093DF" w14:textId="77777777" w:rsidR="00D50DC0" w:rsidRPr="00D62A9D" w:rsidRDefault="00D50DC0" w:rsidP="00D50DC0">
      <w:pPr>
        <w:pStyle w:val="SingleTxtG"/>
        <w:ind w:left="4536" w:hanging="3402"/>
        <w:rPr>
          <w:lang w:val="en-US"/>
        </w:rPr>
      </w:pPr>
      <w:r w:rsidRPr="00F655CA">
        <w:rPr>
          <w:i/>
          <w:lang w:val="en-US"/>
        </w:rPr>
        <w:t>Substantive issues:</w:t>
      </w:r>
      <w:r w:rsidRPr="00F655CA">
        <w:rPr>
          <w:i/>
          <w:lang w:val="en-US"/>
        </w:rPr>
        <w:tab/>
      </w:r>
      <w:r w:rsidR="00E35AAC">
        <w:rPr>
          <w:lang w:val="en-US"/>
        </w:rPr>
        <w:t>R</w:t>
      </w:r>
      <w:r w:rsidR="007E35AD">
        <w:rPr>
          <w:lang w:val="en-US"/>
        </w:rPr>
        <w:t>ight to life, right to an effective remedy</w:t>
      </w:r>
      <w:r w:rsidR="00A466A4">
        <w:rPr>
          <w:lang w:val="en-US"/>
        </w:rPr>
        <w:t>, fair trial</w:t>
      </w:r>
    </w:p>
    <w:p w14:paraId="1CF5B658" w14:textId="77777777" w:rsidR="00D50DC0" w:rsidRPr="000A3BA9" w:rsidRDefault="00D50DC0" w:rsidP="00D50DC0">
      <w:pPr>
        <w:pStyle w:val="SingleTxtG"/>
        <w:ind w:left="4536" w:hanging="3402"/>
      </w:pPr>
      <w:r w:rsidRPr="00F655CA">
        <w:rPr>
          <w:i/>
          <w:iCs/>
        </w:rPr>
        <w:t xml:space="preserve">Articles of the Covenant:  </w:t>
      </w:r>
      <w:r w:rsidRPr="00F655CA">
        <w:rPr>
          <w:i/>
          <w:iCs/>
        </w:rPr>
        <w:tab/>
      </w:r>
      <w:r w:rsidR="00F846D1">
        <w:t>2 (3), 6</w:t>
      </w:r>
      <w:r w:rsidR="004D4F7D">
        <w:t>, 14 (1)</w:t>
      </w:r>
    </w:p>
    <w:p w14:paraId="196109C4" w14:textId="07E062C0" w:rsidR="00992C3A" w:rsidRDefault="00D50DC0" w:rsidP="00F846D1">
      <w:pPr>
        <w:pStyle w:val="SingleTxtG"/>
        <w:ind w:left="4536" w:hanging="3402"/>
        <w:rPr>
          <w:iCs/>
        </w:rPr>
      </w:pPr>
      <w:r w:rsidRPr="00F655CA">
        <w:rPr>
          <w:i/>
          <w:iCs/>
        </w:rPr>
        <w:t xml:space="preserve">Articles of the Optional Protocol: </w:t>
      </w:r>
      <w:r w:rsidRPr="00F655CA">
        <w:rPr>
          <w:i/>
          <w:iCs/>
        </w:rPr>
        <w:tab/>
      </w:r>
      <w:r w:rsidR="0034702B">
        <w:rPr>
          <w:iCs/>
        </w:rPr>
        <w:t>2</w:t>
      </w:r>
      <w:r w:rsidR="00112402">
        <w:rPr>
          <w:iCs/>
        </w:rPr>
        <w:t>, 5 (2) (b)</w:t>
      </w:r>
    </w:p>
    <w:p w14:paraId="7FA5C33E" w14:textId="56265B86" w:rsidR="00D50DC0" w:rsidRDefault="00F83E30" w:rsidP="00F83E30">
      <w:pPr>
        <w:pStyle w:val="SingleTxtG"/>
        <w:spacing w:line="240" w:lineRule="auto"/>
      </w:pPr>
      <w:r>
        <w:lastRenderedPageBreak/>
        <w:t>1</w:t>
      </w:r>
      <w:r w:rsidR="00897258">
        <w:t>.</w:t>
      </w:r>
      <w:r>
        <w:tab/>
      </w:r>
      <w:r w:rsidR="005477F1">
        <w:t>The author</w:t>
      </w:r>
      <w:r w:rsidR="001358AC">
        <w:t xml:space="preserve"> of the communication </w:t>
      </w:r>
      <w:r w:rsidR="005477F1">
        <w:t xml:space="preserve">is </w:t>
      </w:r>
      <w:proofErr w:type="spellStart"/>
      <w:r w:rsidR="005477F1">
        <w:t>Hadji</w:t>
      </w:r>
      <w:proofErr w:type="spellEnd"/>
      <w:r w:rsidR="005477F1">
        <w:t xml:space="preserve"> Hamid </w:t>
      </w:r>
      <w:proofErr w:type="spellStart"/>
      <w:r w:rsidR="005477F1">
        <w:t>Japalali</w:t>
      </w:r>
      <w:proofErr w:type="spellEnd"/>
      <w:r w:rsidR="00A466A4">
        <w:t xml:space="preserve">, a </w:t>
      </w:r>
      <w:r w:rsidR="00B80E5C">
        <w:t>Philippine</w:t>
      </w:r>
      <w:r w:rsidR="00A466A4">
        <w:t xml:space="preserve"> national</w:t>
      </w:r>
      <w:r w:rsidR="00FF0817">
        <w:t>.</w:t>
      </w:r>
      <w:r w:rsidR="00897258">
        <w:t xml:space="preserve"> </w:t>
      </w:r>
      <w:r w:rsidR="004D4F7D">
        <w:t>He files his</w:t>
      </w:r>
      <w:r w:rsidR="00415DED">
        <w:t xml:space="preserve"> claim on </w:t>
      </w:r>
      <w:r w:rsidR="000153D6">
        <w:t xml:space="preserve">his own behalf and on </w:t>
      </w:r>
      <w:r w:rsidR="00415DED">
        <w:t xml:space="preserve">behalf </w:t>
      </w:r>
      <w:r w:rsidR="000E36DA">
        <w:t xml:space="preserve">of his deceased brother, Bakar </w:t>
      </w:r>
      <w:proofErr w:type="spellStart"/>
      <w:r w:rsidR="000E36DA">
        <w:t>Japalali</w:t>
      </w:r>
      <w:proofErr w:type="spellEnd"/>
      <w:r w:rsidR="000E36DA">
        <w:t xml:space="preserve">, and </w:t>
      </w:r>
      <w:r w:rsidR="00ED0D1E">
        <w:t>his brother’s</w:t>
      </w:r>
      <w:r w:rsidR="000E36DA">
        <w:t xml:space="preserve"> wife, Carmen </w:t>
      </w:r>
      <w:proofErr w:type="spellStart"/>
      <w:r w:rsidR="000E36DA">
        <w:t>Baloyo-Japalali</w:t>
      </w:r>
      <w:proofErr w:type="spellEnd"/>
      <w:r w:rsidR="000E36DA">
        <w:t xml:space="preserve">, </w:t>
      </w:r>
      <w:r w:rsidR="00B80E5C">
        <w:t>both of them Philippine</w:t>
      </w:r>
      <w:r w:rsidR="000E36DA">
        <w:t xml:space="preserve"> nationals</w:t>
      </w:r>
      <w:r w:rsidR="002D408C">
        <w:t>.</w:t>
      </w:r>
      <w:r w:rsidR="00415DED">
        <w:t xml:space="preserve"> </w:t>
      </w:r>
      <w:r w:rsidR="00B80E5C">
        <w:t>The author</w:t>
      </w:r>
      <w:r w:rsidR="002D408C">
        <w:t xml:space="preserve"> claims that Bakar </w:t>
      </w:r>
      <w:proofErr w:type="spellStart"/>
      <w:r w:rsidR="002D408C">
        <w:t>Japalali</w:t>
      </w:r>
      <w:proofErr w:type="spellEnd"/>
      <w:r w:rsidR="002D408C">
        <w:t xml:space="preserve"> and Carmen </w:t>
      </w:r>
      <w:proofErr w:type="spellStart"/>
      <w:r w:rsidR="002D408C">
        <w:t>Baloyo-Japalali</w:t>
      </w:r>
      <w:proofErr w:type="spellEnd"/>
      <w:r w:rsidR="002D408C">
        <w:t xml:space="preserve"> were victims of a violation of </w:t>
      </w:r>
      <w:r w:rsidR="001358AC">
        <w:t>article</w:t>
      </w:r>
      <w:r w:rsidR="002D408C">
        <w:t xml:space="preserve"> 6, </w:t>
      </w:r>
      <w:r w:rsidR="000153D6">
        <w:t xml:space="preserve">and that he himself was a victim of a violation of article 2(3), read in conjunction with article </w:t>
      </w:r>
      <w:r w:rsidR="002D408C">
        <w:t xml:space="preserve">14 (1) </w:t>
      </w:r>
      <w:r w:rsidR="001358AC">
        <w:t xml:space="preserve">of the Covenant. </w:t>
      </w:r>
      <w:r w:rsidR="002D408C">
        <w:t>He is</w:t>
      </w:r>
      <w:r w:rsidR="001358AC">
        <w:t xml:space="preserve"> </w:t>
      </w:r>
      <w:r w:rsidR="00D50DC0">
        <w:t>represented</w:t>
      </w:r>
      <w:r w:rsidR="008203C3">
        <w:t xml:space="preserve"> by counsel</w:t>
      </w:r>
      <w:r w:rsidR="00D50DC0">
        <w:t>.</w:t>
      </w:r>
      <w:r w:rsidR="00697441">
        <w:t xml:space="preserve"> </w:t>
      </w:r>
      <w:r w:rsidR="00BA646A">
        <w:t>The Optional Protocol entered into force for the State party on</w:t>
      </w:r>
      <w:r w:rsidR="00D56859">
        <w:t xml:space="preserve"> 22 November 1989</w:t>
      </w:r>
      <w:r w:rsidR="00BA646A" w:rsidRPr="001358AC">
        <w:t>.</w:t>
      </w:r>
    </w:p>
    <w:p w14:paraId="15401956" w14:textId="6B074737" w:rsidR="00D50DC0" w:rsidRPr="00A36331" w:rsidRDefault="00BD2E76" w:rsidP="00BD2E76">
      <w:pPr>
        <w:pStyle w:val="H23G"/>
      </w:pPr>
      <w:r>
        <w:tab/>
      </w:r>
      <w:r>
        <w:tab/>
      </w:r>
      <w:r w:rsidR="008D2ED9">
        <w:t>Factual background</w:t>
      </w:r>
    </w:p>
    <w:p w14:paraId="5718BCCD" w14:textId="28DA7AB9" w:rsidR="00F83E30" w:rsidRDefault="00565F66" w:rsidP="00F83E30">
      <w:pPr>
        <w:pStyle w:val="SingleTxtG"/>
        <w:spacing w:line="240" w:lineRule="auto"/>
      </w:pPr>
      <w:r>
        <w:t>2.1</w:t>
      </w:r>
      <w:r w:rsidR="00474FF5">
        <w:tab/>
        <w:t>In the early morning of</w:t>
      </w:r>
      <w:r w:rsidR="00534712">
        <w:t xml:space="preserve"> 8 September 2004, </w:t>
      </w:r>
      <w:r w:rsidR="005E5687">
        <w:t xml:space="preserve">Bakar </w:t>
      </w:r>
      <w:proofErr w:type="spellStart"/>
      <w:r w:rsidR="005E5687">
        <w:t>Japalali</w:t>
      </w:r>
      <w:proofErr w:type="spellEnd"/>
      <w:r w:rsidR="005E5687">
        <w:t xml:space="preserve"> and his wife Carmen </w:t>
      </w:r>
      <w:proofErr w:type="spellStart"/>
      <w:r w:rsidR="005E5687">
        <w:t>Baloyo-Japalali</w:t>
      </w:r>
      <w:proofErr w:type="spellEnd"/>
      <w:r w:rsidR="005E5687">
        <w:t xml:space="preserve"> we</w:t>
      </w:r>
      <w:r w:rsidR="00ED0D1E">
        <w:t>re</w:t>
      </w:r>
      <w:r w:rsidR="005E5687">
        <w:t xml:space="preserve"> repeatedly shot with rifles </w:t>
      </w:r>
      <w:r w:rsidR="00CB5E24">
        <w:t xml:space="preserve">by </w:t>
      </w:r>
      <w:r w:rsidR="003744D8">
        <w:t xml:space="preserve">eight </w:t>
      </w:r>
      <w:r w:rsidR="00CB5E24">
        <w:t xml:space="preserve">members of the Philippine army while they were sleeping at home. </w:t>
      </w:r>
      <w:r w:rsidR="00CE1F6E">
        <w:t xml:space="preserve">The eight soldiers, who formed one of the four squads of the platoon of 32 soldiers deployed in the “strike” operation, engaged in shooting at the house for a duration of 10 minutes.  Carmen </w:t>
      </w:r>
      <w:proofErr w:type="spellStart"/>
      <w:r w:rsidR="00CE1F6E">
        <w:t>Baloyo</w:t>
      </w:r>
      <w:proofErr w:type="spellEnd"/>
      <w:r w:rsidR="00CE1F6E">
        <w:t xml:space="preserve"> </w:t>
      </w:r>
      <w:proofErr w:type="spellStart"/>
      <w:r w:rsidR="00CE1F6E">
        <w:t>Japalali</w:t>
      </w:r>
      <w:proofErr w:type="spellEnd"/>
      <w:r w:rsidR="00CE1F6E">
        <w:t xml:space="preserve"> was shot in the back while she was hanging in the stair</w:t>
      </w:r>
      <w:r w:rsidR="00ED501D">
        <w:t>s</w:t>
      </w:r>
      <w:r w:rsidR="00CE1F6E">
        <w:t xml:space="preserve"> of the house, already wounded, calling for help. Two neighbours of the </w:t>
      </w:r>
      <w:proofErr w:type="spellStart"/>
      <w:r w:rsidR="00CE1F6E">
        <w:t>Japalali’s</w:t>
      </w:r>
      <w:proofErr w:type="spellEnd"/>
      <w:r w:rsidR="00CE1F6E">
        <w:t xml:space="preserve">, </w:t>
      </w:r>
      <w:proofErr w:type="spellStart"/>
      <w:r w:rsidR="00CE1F6E">
        <w:t>Rosalim</w:t>
      </w:r>
      <w:proofErr w:type="spellEnd"/>
      <w:r w:rsidR="00CE1F6E">
        <w:t xml:space="preserve"> </w:t>
      </w:r>
      <w:proofErr w:type="spellStart"/>
      <w:r w:rsidR="00CE1F6E">
        <w:t>Padama</w:t>
      </w:r>
      <w:proofErr w:type="spellEnd"/>
      <w:r w:rsidR="00CE1F6E">
        <w:t xml:space="preserve"> and </w:t>
      </w:r>
      <w:proofErr w:type="spellStart"/>
      <w:r w:rsidR="00CE1F6E">
        <w:t>Osmalic</w:t>
      </w:r>
      <w:proofErr w:type="spellEnd"/>
      <w:r w:rsidR="00CE1F6E">
        <w:t xml:space="preserve"> </w:t>
      </w:r>
      <w:proofErr w:type="spellStart"/>
      <w:r w:rsidR="00CE1F6E">
        <w:t>Ladia</w:t>
      </w:r>
      <w:proofErr w:type="spellEnd"/>
      <w:r w:rsidR="00CE1F6E">
        <w:t xml:space="preserve">, came to the aid of Mrs </w:t>
      </w:r>
      <w:proofErr w:type="spellStart"/>
      <w:r w:rsidR="00CE1F6E">
        <w:t>Japalali</w:t>
      </w:r>
      <w:proofErr w:type="spellEnd"/>
      <w:r w:rsidR="00CE1F6E">
        <w:t xml:space="preserve">, and after </w:t>
      </w:r>
      <w:r w:rsidR="00092813">
        <w:t xml:space="preserve">being told by a soldier </w:t>
      </w:r>
      <w:r w:rsidR="00CE1F6E">
        <w:t xml:space="preserve">that </w:t>
      </w:r>
      <w:r w:rsidR="00035C20">
        <w:t>they</w:t>
      </w:r>
      <w:r w:rsidR="00CE1F6E">
        <w:t xml:space="preserve"> could bring her to the hospital, </w:t>
      </w:r>
      <w:r w:rsidR="00D8418C">
        <w:t>t</w:t>
      </w:r>
      <w:r w:rsidR="00CE1F6E">
        <w:t xml:space="preserve">hey picked her up, but </w:t>
      </w:r>
      <w:r w:rsidR="00092813">
        <w:t xml:space="preserve">allegedly the soldiers then continued to shoot at them, hitting Carmen’s feet, </w:t>
      </w:r>
      <w:r w:rsidR="00CE1F6E">
        <w:t xml:space="preserve"> as they were carrying </w:t>
      </w:r>
      <w:r w:rsidR="00092813">
        <w:t>her</w:t>
      </w:r>
      <w:r w:rsidR="00CE1F6E">
        <w:t xml:space="preserve"> away. </w:t>
      </w:r>
      <w:r w:rsidR="004867BE">
        <w:t xml:space="preserve">Bakar </w:t>
      </w:r>
      <w:proofErr w:type="spellStart"/>
      <w:r w:rsidR="004867BE">
        <w:t>Japalali</w:t>
      </w:r>
      <w:proofErr w:type="spellEnd"/>
      <w:r w:rsidR="004867BE">
        <w:t xml:space="preserve"> died immediately </w:t>
      </w:r>
      <w:r w:rsidR="00092813">
        <w:t xml:space="preserve">during the shooting at the house, </w:t>
      </w:r>
      <w:r w:rsidR="004867BE">
        <w:t xml:space="preserve">while Carmen </w:t>
      </w:r>
      <w:proofErr w:type="spellStart"/>
      <w:r w:rsidR="004867BE">
        <w:t>Baloyo-Japalali</w:t>
      </w:r>
      <w:proofErr w:type="spellEnd"/>
      <w:r w:rsidR="004867BE">
        <w:t xml:space="preserve"> died </w:t>
      </w:r>
      <w:r w:rsidR="00092813">
        <w:t>shortly after she was brought to the</w:t>
      </w:r>
      <w:r w:rsidR="004867BE">
        <w:t xml:space="preserve"> hospital.</w:t>
      </w:r>
    </w:p>
    <w:p w14:paraId="6B0FE607" w14:textId="4DCB84EE" w:rsidR="0007333A" w:rsidRDefault="00F83E30" w:rsidP="00F83E30">
      <w:pPr>
        <w:pStyle w:val="SingleTxtG"/>
        <w:spacing w:line="240" w:lineRule="auto"/>
      </w:pPr>
      <w:r>
        <w:t>2.2</w:t>
      </w:r>
      <w:r w:rsidR="00565F66">
        <w:tab/>
      </w:r>
      <w:r w:rsidR="005F57C2">
        <w:t xml:space="preserve">On 21 September 2004, </w:t>
      </w:r>
      <w:r w:rsidR="00AB1C11">
        <w:t xml:space="preserve">the Office of the City Prosecutor for </w:t>
      </w:r>
      <w:proofErr w:type="spellStart"/>
      <w:r w:rsidR="00AB1C11">
        <w:t>Tagum</w:t>
      </w:r>
      <w:proofErr w:type="spellEnd"/>
      <w:r w:rsidR="00AB1C11">
        <w:t xml:space="preserve"> City charged</w:t>
      </w:r>
      <w:r w:rsidR="000F5B95">
        <w:t xml:space="preserve"> the</w:t>
      </w:r>
      <w:r w:rsidR="00AB1C11">
        <w:t xml:space="preserve"> eight </w:t>
      </w:r>
      <w:r w:rsidR="00E87889">
        <w:t>members of the 44</w:t>
      </w:r>
      <w:r w:rsidR="00E87889" w:rsidRPr="00346E25">
        <w:rPr>
          <w:vertAlign w:val="superscript"/>
        </w:rPr>
        <w:t>th</w:t>
      </w:r>
      <w:r w:rsidR="00ED0D1E">
        <w:t xml:space="preserve"> D</w:t>
      </w:r>
      <w:r w:rsidR="00E87889">
        <w:t xml:space="preserve">ivision </w:t>
      </w:r>
      <w:r w:rsidR="00ED0D1E">
        <w:t>Reconnaissance</w:t>
      </w:r>
      <w:r w:rsidR="000F5B95">
        <w:t xml:space="preserve"> Company, </w:t>
      </w:r>
      <w:r w:rsidR="00E87889">
        <w:t>4</w:t>
      </w:r>
      <w:r w:rsidR="00E87889" w:rsidRPr="00346E25">
        <w:rPr>
          <w:vertAlign w:val="superscript"/>
        </w:rPr>
        <w:t>th</w:t>
      </w:r>
      <w:r w:rsidR="00E87889">
        <w:t xml:space="preserve"> </w:t>
      </w:r>
      <w:r w:rsidR="00ED0D1E">
        <w:t>Infantry</w:t>
      </w:r>
      <w:r w:rsidR="00E87889">
        <w:t xml:space="preserve"> (Diamond) Division of the Philippine Army Brigade of </w:t>
      </w:r>
      <w:proofErr w:type="spellStart"/>
      <w:r w:rsidR="00E87889">
        <w:t>Tuboran</w:t>
      </w:r>
      <w:proofErr w:type="spellEnd"/>
      <w:r w:rsidR="00E87889">
        <w:t xml:space="preserve">, </w:t>
      </w:r>
      <w:proofErr w:type="spellStart"/>
      <w:r w:rsidR="00E87889">
        <w:t>Mawab</w:t>
      </w:r>
      <w:proofErr w:type="spellEnd"/>
      <w:r w:rsidR="00E87889">
        <w:t xml:space="preserve">, </w:t>
      </w:r>
      <w:proofErr w:type="spellStart"/>
      <w:r w:rsidR="00E87889">
        <w:t>Compostela</w:t>
      </w:r>
      <w:proofErr w:type="spellEnd"/>
      <w:r w:rsidR="00E87889">
        <w:t xml:space="preserve"> Valley Province</w:t>
      </w:r>
      <w:r w:rsidR="000F5B95">
        <w:t>,</w:t>
      </w:r>
      <w:r w:rsidR="00AB1C11">
        <w:t xml:space="preserve"> </w:t>
      </w:r>
      <w:r w:rsidR="00E87889">
        <w:t>with</w:t>
      </w:r>
      <w:r w:rsidR="002700FE">
        <w:t xml:space="preserve"> two counts of homicide</w:t>
      </w:r>
      <w:r w:rsidR="00E87889">
        <w:t>.</w:t>
      </w:r>
      <w:r w:rsidR="00753631">
        <w:t xml:space="preserve"> </w:t>
      </w:r>
    </w:p>
    <w:p w14:paraId="5BF8876A" w14:textId="03749248" w:rsidR="008C4D4E" w:rsidRDefault="0007333A" w:rsidP="00F83E30">
      <w:pPr>
        <w:pStyle w:val="SingleTxtG"/>
        <w:spacing w:line="240" w:lineRule="auto"/>
        <w:rPr>
          <w:lang w:val="en-US"/>
        </w:rPr>
      </w:pPr>
      <w:r>
        <w:t>2.3</w:t>
      </w:r>
      <w:r>
        <w:tab/>
      </w:r>
      <w:r w:rsidR="00A91014">
        <w:t xml:space="preserve">On </w:t>
      </w:r>
      <w:r w:rsidR="00CE1F6E">
        <w:t>23 October 2013</w:t>
      </w:r>
      <w:r w:rsidR="00E87889">
        <w:t>,</w:t>
      </w:r>
      <w:r w:rsidR="005F7B30">
        <w:t xml:space="preserve"> the Regional Trial Court -Branch 31-</w:t>
      </w:r>
      <w:r w:rsidR="00E87889">
        <w:t xml:space="preserve"> of </w:t>
      </w:r>
      <w:proofErr w:type="spellStart"/>
      <w:r w:rsidR="00E87889">
        <w:t>Tagum</w:t>
      </w:r>
      <w:proofErr w:type="spellEnd"/>
      <w:r w:rsidR="00E87889">
        <w:t xml:space="preserve"> City, Davao del </w:t>
      </w:r>
      <w:proofErr w:type="spellStart"/>
      <w:r w:rsidR="00E87889">
        <w:t>Norte</w:t>
      </w:r>
      <w:proofErr w:type="spellEnd"/>
      <w:r w:rsidR="00E87889">
        <w:t xml:space="preserve">, </w:t>
      </w:r>
      <w:r w:rsidR="00A91014">
        <w:t>acq</w:t>
      </w:r>
      <w:r w:rsidR="00A20253">
        <w:t>uitted all the accused. While the Court</w:t>
      </w:r>
      <w:r w:rsidR="00A91014">
        <w:t xml:space="preserve"> found </w:t>
      </w:r>
      <w:r w:rsidR="008C4D4E">
        <w:t>a</w:t>
      </w:r>
      <w:r w:rsidR="000F5B95">
        <w:t>s a</w:t>
      </w:r>
      <w:r w:rsidR="008C4D4E">
        <w:t xml:space="preserve"> proven fact </w:t>
      </w:r>
      <w:r w:rsidR="00A91014">
        <w:t xml:space="preserve">that </w:t>
      </w:r>
      <w:r w:rsidR="00A20253">
        <w:t xml:space="preserve">the accused had caused the death of Mr. and Mrs. </w:t>
      </w:r>
      <w:proofErr w:type="spellStart"/>
      <w:r w:rsidR="00A20253">
        <w:t>Japalali</w:t>
      </w:r>
      <w:proofErr w:type="spellEnd"/>
      <w:r w:rsidR="00A20253">
        <w:t xml:space="preserve">, it considered that they had acted in obedience to </w:t>
      </w:r>
      <w:r w:rsidR="00EE1F33">
        <w:t>a lawful order</w:t>
      </w:r>
      <w:r w:rsidR="008C4D4E">
        <w:t xml:space="preserve"> issued</w:t>
      </w:r>
      <w:r w:rsidR="00EE1F33">
        <w:t xml:space="preserve"> by a superior</w:t>
      </w:r>
      <w:r w:rsidR="00ED3A3E">
        <w:rPr>
          <w:lang w:val="en-US"/>
        </w:rPr>
        <w:t>.</w:t>
      </w:r>
      <w:r w:rsidR="006468D0">
        <w:rPr>
          <w:lang w:val="en-US"/>
        </w:rPr>
        <w:t xml:space="preserve"> The Court </w:t>
      </w:r>
      <w:r w:rsidR="008C4D4E">
        <w:rPr>
          <w:lang w:val="en-US"/>
        </w:rPr>
        <w:t>applied</w:t>
      </w:r>
      <w:r w:rsidR="006468D0">
        <w:rPr>
          <w:lang w:val="en-US"/>
        </w:rPr>
        <w:t xml:space="preserve"> article 11 (6) of the Revised Penal Code</w:t>
      </w:r>
      <w:r w:rsidR="000F5B95">
        <w:rPr>
          <w:lang w:val="en-US"/>
        </w:rPr>
        <w:t xml:space="preserve"> of the Philippines</w:t>
      </w:r>
      <w:r w:rsidR="00BD2E76">
        <w:rPr>
          <w:lang w:val="en-US"/>
        </w:rPr>
        <w:t>, which reads:</w:t>
      </w:r>
    </w:p>
    <w:p w14:paraId="686FC47F" w14:textId="77777777" w:rsidR="0007333A" w:rsidRDefault="006468D0" w:rsidP="008C4D4E">
      <w:pPr>
        <w:pStyle w:val="SingleTxtG"/>
        <w:spacing w:line="240" w:lineRule="auto"/>
        <w:ind w:left="1701"/>
        <w:rPr>
          <w:lang w:val="en-US"/>
        </w:rPr>
      </w:pPr>
      <w:r>
        <w:rPr>
          <w:lang w:val="en-US"/>
        </w:rPr>
        <w:t>“</w:t>
      </w:r>
      <w:r w:rsidR="008C4D4E">
        <w:rPr>
          <w:lang w:val="en-US"/>
        </w:rPr>
        <w:t>Article 11. Justifying circumstances:</w:t>
      </w:r>
      <w:r>
        <w:rPr>
          <w:lang w:val="en-US"/>
        </w:rPr>
        <w:t xml:space="preserve"> The following do not incur any criminal liability: (…) 6. Any person who acts in obedience to an order issued by a superior for some lawful purpose.”</w:t>
      </w:r>
    </w:p>
    <w:p w14:paraId="22D237EC" w14:textId="1166FF9E" w:rsidR="008C4D4E" w:rsidRPr="00A20253" w:rsidRDefault="001C691A" w:rsidP="008C4D4E">
      <w:pPr>
        <w:pStyle w:val="SingleTxtG"/>
        <w:spacing w:line="240" w:lineRule="auto"/>
        <w:rPr>
          <w:lang w:val="en-US"/>
        </w:rPr>
      </w:pPr>
      <w:r>
        <w:rPr>
          <w:lang w:val="en-US"/>
        </w:rPr>
        <w:t>2.4</w:t>
      </w:r>
      <w:r>
        <w:rPr>
          <w:lang w:val="en-US"/>
        </w:rPr>
        <w:tab/>
      </w:r>
      <w:r w:rsidR="008C4D4E">
        <w:rPr>
          <w:lang w:val="en-US"/>
        </w:rPr>
        <w:t xml:space="preserve">The Court noted that, in the case at stake, it was undisputed that an order had been issued by the accused </w:t>
      </w:r>
      <w:r w:rsidR="00850C8A">
        <w:rPr>
          <w:lang w:val="en-US"/>
        </w:rPr>
        <w:t xml:space="preserve">persons’ </w:t>
      </w:r>
      <w:r w:rsidR="008C4D4E">
        <w:rPr>
          <w:lang w:val="en-US"/>
        </w:rPr>
        <w:t>immediat</w:t>
      </w:r>
      <w:r w:rsidR="00850C8A">
        <w:rPr>
          <w:lang w:val="en-US"/>
        </w:rPr>
        <w:t xml:space="preserve">e superior for a lawful purpose, namely to </w:t>
      </w:r>
      <w:r w:rsidR="008C4D4E">
        <w:rPr>
          <w:lang w:val="en-US"/>
        </w:rPr>
        <w:t>verify the presence of an armed group and enga</w:t>
      </w:r>
      <w:r w:rsidR="00850C8A">
        <w:rPr>
          <w:lang w:val="en-US"/>
        </w:rPr>
        <w:t>ge them in combat, if necessary</w:t>
      </w:r>
      <w:r w:rsidR="008C4D4E">
        <w:rPr>
          <w:lang w:val="en-US"/>
        </w:rPr>
        <w:t>. In determining whether the subordinates had used lawful means to carry out the order, the Court noted the Prosecutor’s position that the squad was armed with rifles and opened fire on a fragile shanty house without any provocation and without first verifying whether there was indeed an armed group inside. Rather, the victims were sleeping, as evidenced by Bakar’s corps</w:t>
      </w:r>
      <w:r w:rsidR="00ED2CFB">
        <w:rPr>
          <w:lang w:val="en-US"/>
        </w:rPr>
        <w:t>e</w:t>
      </w:r>
      <w:r w:rsidR="008C4D4E">
        <w:rPr>
          <w:lang w:val="en-US"/>
        </w:rPr>
        <w:t xml:space="preserve"> found lying in the mosquito net. </w:t>
      </w:r>
      <w:r w:rsidR="00163D1C">
        <w:rPr>
          <w:lang w:val="en-US"/>
        </w:rPr>
        <w:t>However, the Court considered that</w:t>
      </w:r>
      <w:r>
        <w:rPr>
          <w:lang w:val="en-US"/>
        </w:rPr>
        <w:t xml:space="preserve"> other elements, including Bakar’s </w:t>
      </w:r>
      <w:r w:rsidR="00850C8A">
        <w:rPr>
          <w:lang w:val="en-US"/>
        </w:rPr>
        <w:t>camouflage clothing</w:t>
      </w:r>
      <w:r>
        <w:rPr>
          <w:lang w:val="en-US"/>
        </w:rPr>
        <w:t xml:space="preserve"> and the presence of blood on the fold of the mosquito net, suggested that the scene may have been tampered </w:t>
      </w:r>
      <w:r w:rsidR="00BC714E">
        <w:rPr>
          <w:lang w:val="en-US"/>
        </w:rPr>
        <w:t xml:space="preserve">with </w:t>
      </w:r>
      <w:r>
        <w:rPr>
          <w:lang w:val="en-US"/>
        </w:rPr>
        <w:t>and the body moved inside the net</w:t>
      </w:r>
      <w:r w:rsidR="00BC714E">
        <w:rPr>
          <w:lang w:val="en-US"/>
        </w:rPr>
        <w:t xml:space="preserve">, since the scene of the killing was not secured by the soldiers immediately after the shooting, but only </w:t>
      </w:r>
      <w:r w:rsidR="001509B6">
        <w:rPr>
          <w:lang w:val="en-US"/>
        </w:rPr>
        <w:t xml:space="preserve">cordoned </w:t>
      </w:r>
      <w:r w:rsidR="00BC714E">
        <w:rPr>
          <w:lang w:val="en-US"/>
        </w:rPr>
        <w:t>by the investigating police who arrived on the scene</w:t>
      </w:r>
      <w:r w:rsidR="001509B6">
        <w:rPr>
          <w:lang w:val="en-US"/>
        </w:rPr>
        <w:t xml:space="preserve"> two hours after the shooting.</w:t>
      </w:r>
      <w:r w:rsidR="00BC714E">
        <w:rPr>
          <w:lang w:val="en-US"/>
        </w:rPr>
        <w:t xml:space="preserve"> </w:t>
      </w:r>
      <w:r>
        <w:rPr>
          <w:lang w:val="en-US"/>
        </w:rPr>
        <w:t xml:space="preserve"> The Court further considered that the accused were “battle-hardened veterans” and therefore the</w:t>
      </w:r>
      <w:r w:rsidR="00850C8A">
        <w:rPr>
          <w:lang w:val="en-US"/>
        </w:rPr>
        <w:t>re</w:t>
      </w:r>
      <w:r w:rsidR="009C7C9B">
        <w:rPr>
          <w:lang w:val="en-US"/>
        </w:rPr>
        <w:t xml:space="preserve"> was a “probability that indeed</w:t>
      </w:r>
      <w:r>
        <w:rPr>
          <w:lang w:val="en-US"/>
        </w:rPr>
        <w:t xml:space="preserve"> they were fired at before they opened fire themselves.” </w:t>
      </w:r>
      <w:r w:rsidR="00CE1F6E">
        <w:rPr>
          <w:lang w:val="en-US"/>
        </w:rPr>
        <w:t xml:space="preserve">The Court also found it “mystifying” that the soldiers would have continued to shoot at Carmen, </w:t>
      </w:r>
      <w:proofErr w:type="spellStart"/>
      <w:r w:rsidR="00CE1F6E">
        <w:rPr>
          <w:lang w:val="en-US"/>
        </w:rPr>
        <w:t>Ladia</w:t>
      </w:r>
      <w:proofErr w:type="spellEnd"/>
      <w:r w:rsidR="00CE1F6E">
        <w:rPr>
          <w:lang w:val="en-US"/>
        </w:rPr>
        <w:t xml:space="preserve"> and </w:t>
      </w:r>
      <w:proofErr w:type="spellStart"/>
      <w:r w:rsidR="00CE1F6E">
        <w:rPr>
          <w:lang w:val="en-US"/>
        </w:rPr>
        <w:t>Padama</w:t>
      </w:r>
      <w:proofErr w:type="spellEnd"/>
      <w:r w:rsidR="00CE1F6E">
        <w:rPr>
          <w:lang w:val="en-US"/>
        </w:rPr>
        <w:t xml:space="preserve"> after allowing the</w:t>
      </w:r>
      <w:r w:rsidR="00BC714E">
        <w:rPr>
          <w:lang w:val="en-US"/>
        </w:rPr>
        <w:t xml:space="preserve"> latter two</w:t>
      </w:r>
      <w:r w:rsidR="00CE1F6E">
        <w:rPr>
          <w:lang w:val="en-US"/>
        </w:rPr>
        <w:t xml:space="preserve"> to pick </w:t>
      </w:r>
      <w:r w:rsidR="00073ACB">
        <w:rPr>
          <w:lang w:val="en-US"/>
        </w:rPr>
        <w:t>Carmen</w:t>
      </w:r>
      <w:r w:rsidR="00CE1F6E">
        <w:rPr>
          <w:lang w:val="en-US"/>
        </w:rPr>
        <w:t xml:space="preserve"> up and bring her to the hospital. </w:t>
      </w:r>
      <w:r>
        <w:rPr>
          <w:lang w:val="en-US"/>
        </w:rPr>
        <w:t>This</w:t>
      </w:r>
      <w:r w:rsidR="00850C8A">
        <w:rPr>
          <w:lang w:val="en-US"/>
        </w:rPr>
        <w:t>, together with</w:t>
      </w:r>
      <w:r>
        <w:rPr>
          <w:lang w:val="en-US"/>
        </w:rPr>
        <w:t xml:space="preserve"> the presence of </w:t>
      </w:r>
      <w:r w:rsidR="001062E4">
        <w:rPr>
          <w:lang w:val="en-US"/>
        </w:rPr>
        <w:t xml:space="preserve">empty shells </w:t>
      </w:r>
      <w:r w:rsidR="000A512F">
        <w:rPr>
          <w:lang w:val="en-US"/>
        </w:rPr>
        <w:t>o</w:t>
      </w:r>
      <w:r>
        <w:rPr>
          <w:lang w:val="en-US"/>
        </w:rPr>
        <w:t xml:space="preserve">n the </w:t>
      </w:r>
      <w:r w:rsidR="00850C8A">
        <w:rPr>
          <w:lang w:val="en-US"/>
        </w:rPr>
        <w:t xml:space="preserve">crime scene </w:t>
      </w:r>
      <w:r w:rsidR="000A512F">
        <w:rPr>
          <w:lang w:val="en-US"/>
        </w:rPr>
        <w:t>for rifles that were not the standard issue</w:t>
      </w:r>
      <w:r>
        <w:rPr>
          <w:lang w:val="en-US"/>
        </w:rPr>
        <w:t xml:space="preserve"> army rifles were the factors that “created a reasonable doubt in the mind of the Court as to the liability [of the accused].” The Court </w:t>
      </w:r>
      <w:r w:rsidR="000F6323">
        <w:rPr>
          <w:lang w:val="en-US"/>
        </w:rPr>
        <w:t xml:space="preserve">therefore </w:t>
      </w:r>
      <w:r>
        <w:rPr>
          <w:lang w:val="en-US"/>
        </w:rPr>
        <w:t>concluded that there was insufficient evidence to establish their guilt beyond reasonable doubt.</w:t>
      </w:r>
    </w:p>
    <w:p w14:paraId="75B80EE8" w14:textId="77777777" w:rsidR="006C783B" w:rsidRDefault="00796D07" w:rsidP="00D806A3">
      <w:pPr>
        <w:pStyle w:val="SingleTxtG"/>
        <w:spacing w:after="240" w:line="240" w:lineRule="auto"/>
      </w:pPr>
      <w:r>
        <w:lastRenderedPageBreak/>
        <w:t>2</w:t>
      </w:r>
      <w:r w:rsidR="001C691A">
        <w:t>.5</w:t>
      </w:r>
      <w:r w:rsidR="00DA35BC">
        <w:tab/>
        <w:t>The author claims that there is no possible appeal against an acquittal decision under Philippine law</w:t>
      </w:r>
      <w:r w:rsidR="000153D6">
        <w:t>, based on the prohibition</w:t>
      </w:r>
      <w:r w:rsidR="00067770">
        <w:t xml:space="preserve"> of double jeopardy</w:t>
      </w:r>
      <w:r w:rsidR="00192301">
        <w:t xml:space="preserve"> e</w:t>
      </w:r>
      <w:r w:rsidR="00505EC7">
        <w:t>nshrined</w:t>
      </w:r>
      <w:r w:rsidR="00192301">
        <w:t xml:space="preserve"> in the Constitution.</w:t>
      </w:r>
      <w:r w:rsidR="00192301">
        <w:rPr>
          <w:rStyle w:val="FootnoteReference"/>
        </w:rPr>
        <w:footnoteReference w:id="5"/>
      </w:r>
      <w:r w:rsidR="00505EC7">
        <w:t xml:space="preserve"> An appeal </w:t>
      </w:r>
      <w:r w:rsidR="00D94274">
        <w:t xml:space="preserve">would </w:t>
      </w:r>
      <w:r w:rsidR="00505EC7">
        <w:t>therefore</w:t>
      </w:r>
      <w:r w:rsidR="00D94274">
        <w:t xml:space="preserve"> not</w:t>
      </w:r>
      <w:r w:rsidR="00505EC7">
        <w:t xml:space="preserve"> </w:t>
      </w:r>
      <w:r w:rsidR="00D94274">
        <w:t xml:space="preserve">have </w:t>
      </w:r>
      <w:r w:rsidR="00505EC7">
        <w:t xml:space="preserve">had </w:t>
      </w:r>
      <w:r w:rsidR="00D94274">
        <w:t xml:space="preserve">any </w:t>
      </w:r>
      <w:r w:rsidR="00505EC7">
        <w:t>prospect of success.</w:t>
      </w:r>
    </w:p>
    <w:p w14:paraId="3120C0A2" w14:textId="417E8F2B" w:rsidR="00565F66" w:rsidRPr="00EE7BE6" w:rsidRDefault="00BD2E76" w:rsidP="00BD2E76">
      <w:pPr>
        <w:pStyle w:val="H23G"/>
      </w:pPr>
      <w:r>
        <w:tab/>
      </w:r>
      <w:r>
        <w:tab/>
      </w:r>
      <w:r w:rsidR="00565F66" w:rsidRPr="00EE7BE6">
        <w:t>The complaint</w:t>
      </w:r>
    </w:p>
    <w:p w14:paraId="508AE57C" w14:textId="77777777" w:rsidR="00565F66" w:rsidRDefault="00565F66" w:rsidP="00013F37">
      <w:pPr>
        <w:pStyle w:val="SingleTxtG"/>
        <w:spacing w:line="240" w:lineRule="auto"/>
      </w:pPr>
      <w:r>
        <w:t>3.1</w:t>
      </w:r>
      <w:r w:rsidR="006566CD">
        <w:tab/>
        <w:t xml:space="preserve">The </w:t>
      </w:r>
      <w:r w:rsidR="00EC6B43">
        <w:t>author</w:t>
      </w:r>
      <w:r w:rsidR="001E3F3B">
        <w:t xml:space="preserve"> claims </w:t>
      </w:r>
      <w:r w:rsidR="00574EAE">
        <w:t>that the victims’ rights under article 6 were violated. E</w:t>
      </w:r>
      <w:r w:rsidR="001E3F3B">
        <w:t xml:space="preserve">ven if the orders were given by a superior, </w:t>
      </w:r>
      <w:r w:rsidR="00D22B9B">
        <w:t>thes</w:t>
      </w:r>
      <w:r w:rsidR="001E3F3B">
        <w:t>e orders were unlawful and the resulting deaths still amounted to arbitrary deprivation of life.</w:t>
      </w:r>
      <w:r w:rsidR="00DB1346">
        <w:t xml:space="preserve"> He adds that obedience to a superior’s order can never justify serious human rights violations such as extrajudicial </w:t>
      </w:r>
      <w:r w:rsidR="00A058FF">
        <w:t>executions.</w:t>
      </w:r>
      <w:r w:rsidR="00A058FF">
        <w:rPr>
          <w:rStyle w:val="FootnoteReference"/>
        </w:rPr>
        <w:footnoteReference w:id="6"/>
      </w:r>
    </w:p>
    <w:p w14:paraId="7B92AFB1" w14:textId="38625118" w:rsidR="00C12EE3" w:rsidRDefault="00C12EE3" w:rsidP="00013F37">
      <w:pPr>
        <w:pStyle w:val="SingleTxtG"/>
        <w:spacing w:line="240" w:lineRule="auto"/>
      </w:pPr>
      <w:r>
        <w:t>3.2</w:t>
      </w:r>
      <w:r>
        <w:tab/>
        <w:t>The author mainta</w:t>
      </w:r>
      <w:r w:rsidR="00836880">
        <w:t xml:space="preserve">ins that </w:t>
      </w:r>
      <w:r w:rsidR="00574EAE">
        <w:t xml:space="preserve">his rights under article 2(3) </w:t>
      </w:r>
      <w:r w:rsidR="00CD5F00">
        <w:t xml:space="preserve">of the Covenant </w:t>
      </w:r>
      <w:r w:rsidR="00574EAE">
        <w:t xml:space="preserve">were violated as </w:t>
      </w:r>
      <w:r w:rsidR="00836880">
        <w:t>he was left without an</w:t>
      </w:r>
      <w:r>
        <w:t xml:space="preserve"> effective remedy to </w:t>
      </w:r>
      <w:r w:rsidR="00FF0817">
        <w:t xml:space="preserve">establish </w:t>
      </w:r>
      <w:r>
        <w:t>the truth about his relatives’ deaths</w:t>
      </w:r>
      <w:r w:rsidR="00A210EA">
        <w:t>, obtain justice and adequate reparation.</w:t>
      </w:r>
      <w:r w:rsidR="001B0F66">
        <w:t xml:space="preserve"> Although he would have like</w:t>
      </w:r>
      <w:r w:rsidR="00574EAE">
        <w:t>d</w:t>
      </w:r>
      <w:r w:rsidR="001B0F66">
        <w:t xml:space="preserve"> to appeal the acquittal decision, he is not allowed to do so under Philippine law.</w:t>
      </w:r>
    </w:p>
    <w:p w14:paraId="456B1DD9" w14:textId="77777777" w:rsidR="00954E90" w:rsidRDefault="00A210EA" w:rsidP="009C1BC6">
      <w:pPr>
        <w:pStyle w:val="SingleTxtG"/>
        <w:spacing w:line="240" w:lineRule="auto"/>
      </w:pPr>
      <w:r>
        <w:t>3.3</w:t>
      </w:r>
      <w:r>
        <w:tab/>
      </w:r>
      <w:r w:rsidR="00954E90">
        <w:t xml:space="preserve">The author alleges that </w:t>
      </w:r>
      <w:r w:rsidR="001B0F66">
        <w:t>his right to a fair and public hearing by a competent, independent and impartial tribunal was violated as the trial court</w:t>
      </w:r>
      <w:r w:rsidR="00954E90">
        <w:t xml:space="preserve"> that rendered the acquittal decision found insufficient evidence to convict the soldiers by justifying </w:t>
      </w:r>
      <w:r w:rsidR="00F044A8">
        <w:t xml:space="preserve">their actions with the argument </w:t>
      </w:r>
      <w:r w:rsidR="00954E90">
        <w:t>that they obeyed a lawful order, even though such obedience can never justify serious human rights violations, such as an extrajudicial execution in this case.</w:t>
      </w:r>
      <w:r w:rsidR="00574EAE">
        <w:t xml:space="preserve"> He claims that this constitutes a violation of article 2 (3), in conjunction with article 14 (1) of the Covenant.</w:t>
      </w:r>
    </w:p>
    <w:p w14:paraId="3964F41C" w14:textId="77777777" w:rsidR="008E4356" w:rsidRPr="0044160F" w:rsidRDefault="00954E90" w:rsidP="009C1BC6">
      <w:pPr>
        <w:pStyle w:val="SingleTxtG"/>
        <w:spacing w:line="240" w:lineRule="auto"/>
      </w:pPr>
      <w:r>
        <w:t>3.4</w:t>
      </w:r>
      <w:r>
        <w:tab/>
      </w:r>
      <w:r w:rsidR="007174E2">
        <w:t xml:space="preserve">The author </w:t>
      </w:r>
      <w:r w:rsidR="00ED52A9">
        <w:t>invites</w:t>
      </w:r>
      <w:r w:rsidR="007174E2">
        <w:t xml:space="preserve"> the Committee to request the State party to: a) take effective and immediate steps to remedy the violations suffered by the victims, establish the truth, ensure justice and provide adequate reparation; </w:t>
      </w:r>
      <w:r w:rsidR="00836880">
        <w:t xml:space="preserve">and </w:t>
      </w:r>
      <w:r w:rsidR="007174E2">
        <w:t>b) ensure that similar violations do not occur in the future.</w:t>
      </w:r>
    </w:p>
    <w:p w14:paraId="70F5ADAF" w14:textId="77777777" w:rsidR="003F3C74" w:rsidRPr="005F7C25" w:rsidRDefault="00B75826" w:rsidP="005F7C25">
      <w:pPr>
        <w:pStyle w:val="H23G"/>
      </w:pPr>
      <w:r w:rsidRPr="005F7C25">
        <w:tab/>
      </w:r>
      <w:r w:rsidRPr="005F7C25">
        <w:tab/>
        <w:t xml:space="preserve">State party’s </w:t>
      </w:r>
      <w:r w:rsidR="0094139B" w:rsidRPr="005F7C25">
        <w:t>observations on admissibility and merits</w:t>
      </w:r>
    </w:p>
    <w:p w14:paraId="1C1518C6" w14:textId="6BB4DCED" w:rsidR="008351FF" w:rsidRDefault="003F3C74" w:rsidP="00597508">
      <w:pPr>
        <w:pStyle w:val="SingleTxtG"/>
        <w:spacing w:line="240" w:lineRule="auto"/>
        <w:rPr>
          <w:b/>
        </w:rPr>
      </w:pPr>
      <w:r w:rsidRPr="00597508">
        <w:rPr>
          <w:rStyle w:val="SingleTxtGChar"/>
        </w:rPr>
        <w:t>4</w:t>
      </w:r>
      <w:r w:rsidR="008351FF" w:rsidRPr="00597508">
        <w:rPr>
          <w:rStyle w:val="SingleTxtGChar"/>
        </w:rPr>
        <w:t>.1</w:t>
      </w:r>
      <w:r w:rsidR="00DC17D5" w:rsidRPr="00597508">
        <w:rPr>
          <w:rStyle w:val="SingleTxtGChar"/>
        </w:rPr>
        <w:tab/>
        <w:t>In its submissions dated</w:t>
      </w:r>
      <w:r w:rsidRPr="00597508">
        <w:rPr>
          <w:rStyle w:val="SingleTxtGChar"/>
        </w:rPr>
        <w:t xml:space="preserve"> </w:t>
      </w:r>
      <w:r w:rsidR="008E3950" w:rsidRPr="00597508">
        <w:rPr>
          <w:rStyle w:val="SingleTxtGChar"/>
        </w:rPr>
        <w:t xml:space="preserve">20 March 2015, the State party </w:t>
      </w:r>
      <w:r w:rsidR="00671544" w:rsidRPr="00597508">
        <w:rPr>
          <w:rStyle w:val="SingleTxtGChar"/>
        </w:rPr>
        <w:t xml:space="preserve">informs that, in </w:t>
      </w:r>
      <w:r w:rsidR="008E3950" w:rsidRPr="00597508">
        <w:rPr>
          <w:rStyle w:val="SingleTxtGChar"/>
        </w:rPr>
        <w:t>the first week of September 20</w:t>
      </w:r>
      <w:r w:rsidR="00CE1F6E">
        <w:rPr>
          <w:rStyle w:val="SingleTxtGChar"/>
        </w:rPr>
        <w:t>0</w:t>
      </w:r>
      <w:r w:rsidR="008E3950" w:rsidRPr="00597508">
        <w:rPr>
          <w:rStyle w:val="SingleTxtGChar"/>
        </w:rPr>
        <w:t xml:space="preserve">4, the 44th Division of the Philippine Army based in </w:t>
      </w:r>
      <w:proofErr w:type="spellStart"/>
      <w:r w:rsidR="008E3950" w:rsidRPr="00597508">
        <w:rPr>
          <w:rStyle w:val="SingleTxtGChar"/>
        </w:rPr>
        <w:t>Mawab</w:t>
      </w:r>
      <w:proofErr w:type="spellEnd"/>
      <w:r w:rsidR="008E3950" w:rsidRPr="00597508">
        <w:rPr>
          <w:rStyle w:val="SingleTxtGChar"/>
        </w:rPr>
        <w:t xml:space="preserve">, </w:t>
      </w:r>
      <w:proofErr w:type="spellStart"/>
      <w:r w:rsidR="008E3950" w:rsidRPr="00597508">
        <w:rPr>
          <w:rStyle w:val="SingleTxtGChar"/>
        </w:rPr>
        <w:t>Compostela</w:t>
      </w:r>
      <w:proofErr w:type="spellEnd"/>
      <w:r w:rsidR="008E3950" w:rsidRPr="00597508">
        <w:rPr>
          <w:rStyle w:val="SingleTxtGChar"/>
        </w:rPr>
        <w:t xml:space="preserve"> Valley, Mindanao, received information from the Intelligence Division </w:t>
      </w:r>
      <w:r w:rsidR="00444DE1" w:rsidRPr="00597508">
        <w:rPr>
          <w:rStyle w:val="SingleTxtGChar"/>
        </w:rPr>
        <w:t xml:space="preserve">about the </w:t>
      </w:r>
      <w:r w:rsidR="00444DE1" w:rsidRPr="00597508">
        <w:t>presence</w:t>
      </w:r>
      <w:r w:rsidR="00444DE1" w:rsidRPr="00597508">
        <w:rPr>
          <w:rStyle w:val="SingleTxtGChar"/>
        </w:rPr>
        <w:t xml:space="preserve"> of between 30 and 40</w:t>
      </w:r>
      <w:r w:rsidR="008E3950" w:rsidRPr="00597508">
        <w:rPr>
          <w:rStyle w:val="SingleTxtGChar"/>
        </w:rPr>
        <w:t xml:space="preserve"> armed men </w:t>
      </w:r>
      <w:r w:rsidR="00444DE1" w:rsidRPr="00597508">
        <w:rPr>
          <w:rStyle w:val="SingleTxtGChar"/>
        </w:rPr>
        <w:t xml:space="preserve">belonging to the Southern Philippines Secessionist Group (SPSG), which had been </w:t>
      </w:r>
      <w:r w:rsidR="008E3950" w:rsidRPr="00597508">
        <w:rPr>
          <w:rStyle w:val="SingleTxtGChar"/>
        </w:rPr>
        <w:t xml:space="preserve">seen within the vicinity of </w:t>
      </w:r>
      <w:proofErr w:type="spellStart"/>
      <w:r w:rsidR="008E3950" w:rsidRPr="00597508">
        <w:rPr>
          <w:rStyle w:val="SingleTxtGChar"/>
        </w:rPr>
        <w:t>Sitio</w:t>
      </w:r>
      <w:proofErr w:type="spellEnd"/>
      <w:r w:rsidR="008E3950" w:rsidRPr="00597508">
        <w:rPr>
          <w:rStyle w:val="SingleTxtGChar"/>
        </w:rPr>
        <w:t xml:space="preserve"> </w:t>
      </w:r>
      <w:proofErr w:type="spellStart"/>
      <w:r w:rsidR="008E3950" w:rsidRPr="00597508">
        <w:rPr>
          <w:rStyle w:val="SingleTxtGChar"/>
        </w:rPr>
        <w:t>Talaba</w:t>
      </w:r>
      <w:proofErr w:type="spellEnd"/>
      <w:r w:rsidR="008E3950" w:rsidRPr="00597508">
        <w:rPr>
          <w:rStyle w:val="SingleTxtGChar"/>
        </w:rPr>
        <w:t>. A</w:t>
      </w:r>
      <w:r w:rsidR="00444DE1" w:rsidRPr="00597508">
        <w:rPr>
          <w:rStyle w:val="SingleTxtGChar"/>
        </w:rPr>
        <w:t>n order</w:t>
      </w:r>
      <w:r w:rsidR="008E3950" w:rsidRPr="00597508">
        <w:rPr>
          <w:rStyle w:val="SingleTxtGChar"/>
        </w:rPr>
        <w:t xml:space="preserve"> was issued to the commanding officer of the Division to conduct a </w:t>
      </w:r>
      <w:r w:rsidR="00071298" w:rsidRPr="00597508">
        <w:rPr>
          <w:rStyle w:val="SingleTxtGChar"/>
        </w:rPr>
        <w:t>“</w:t>
      </w:r>
      <w:r w:rsidR="008E3950" w:rsidRPr="00597508">
        <w:rPr>
          <w:rStyle w:val="SingleTxtGChar"/>
        </w:rPr>
        <w:t>strike operation” in the area.</w:t>
      </w:r>
      <w:r w:rsidR="00CA71D0" w:rsidRPr="00597508">
        <w:rPr>
          <w:rStyle w:val="SingleTxtGChar"/>
        </w:rPr>
        <w:t xml:space="preserve"> In the early morning of 8 September 20</w:t>
      </w:r>
      <w:r w:rsidR="00CE1F6E">
        <w:rPr>
          <w:rStyle w:val="SingleTxtGChar"/>
        </w:rPr>
        <w:t>0</w:t>
      </w:r>
      <w:r w:rsidR="00CA71D0" w:rsidRPr="00597508">
        <w:rPr>
          <w:rStyle w:val="SingleTxtGChar"/>
        </w:rPr>
        <w:t xml:space="preserve">4, a platoon was dispatched to </w:t>
      </w:r>
      <w:proofErr w:type="spellStart"/>
      <w:r w:rsidR="00CA71D0" w:rsidRPr="00597508">
        <w:rPr>
          <w:rStyle w:val="SingleTxtGChar"/>
        </w:rPr>
        <w:t>Sitio</w:t>
      </w:r>
      <w:proofErr w:type="spellEnd"/>
      <w:r w:rsidR="00CA71D0" w:rsidRPr="00597508">
        <w:rPr>
          <w:rStyle w:val="SingleTxtGChar"/>
        </w:rPr>
        <w:t xml:space="preserve"> </w:t>
      </w:r>
      <w:proofErr w:type="spellStart"/>
      <w:r w:rsidR="00CA71D0" w:rsidRPr="00597508">
        <w:rPr>
          <w:rStyle w:val="SingleTxtGChar"/>
        </w:rPr>
        <w:t>Talaba</w:t>
      </w:r>
      <w:proofErr w:type="spellEnd"/>
      <w:r w:rsidR="00CA71D0" w:rsidRPr="00597508">
        <w:rPr>
          <w:rStyle w:val="SingleTxtGChar"/>
        </w:rPr>
        <w:t xml:space="preserve"> to verify the presence of an armed group and to engage in combat, if necessary.</w:t>
      </w:r>
      <w:r w:rsidR="00455D07" w:rsidRPr="00597508">
        <w:rPr>
          <w:rStyle w:val="SingleTxtGChar"/>
        </w:rPr>
        <w:t xml:space="preserve"> They surrounded two houses, including the </w:t>
      </w:r>
      <w:proofErr w:type="spellStart"/>
      <w:r w:rsidR="00455D07" w:rsidRPr="00597508">
        <w:rPr>
          <w:rStyle w:val="SingleTxtGChar"/>
        </w:rPr>
        <w:t>Japalalis</w:t>
      </w:r>
      <w:proofErr w:type="spellEnd"/>
      <w:r w:rsidR="00455D07" w:rsidRPr="00597508">
        <w:rPr>
          <w:rStyle w:val="SingleTxtGChar"/>
        </w:rPr>
        <w:t xml:space="preserve">’ house. </w:t>
      </w:r>
      <w:r w:rsidR="009C09B0" w:rsidRPr="00597508">
        <w:rPr>
          <w:rStyle w:val="SingleTxtGChar"/>
        </w:rPr>
        <w:t xml:space="preserve">An army </w:t>
      </w:r>
      <w:r w:rsidR="00704DF0" w:rsidRPr="00597508">
        <w:rPr>
          <w:rStyle w:val="SingleTxtGChar"/>
        </w:rPr>
        <w:t>officer</w:t>
      </w:r>
      <w:r w:rsidR="009C09B0" w:rsidRPr="00597508">
        <w:rPr>
          <w:rStyle w:val="SingleTxtGChar"/>
        </w:rPr>
        <w:t xml:space="preserve"> peeped through an open window and saw a man pointing </w:t>
      </w:r>
      <w:r w:rsidR="00704DF0" w:rsidRPr="00597508">
        <w:rPr>
          <w:rStyle w:val="SingleTxtGChar"/>
        </w:rPr>
        <w:t>a gun at him. As the officer</w:t>
      </w:r>
      <w:r w:rsidR="009C09B0" w:rsidRPr="00597508">
        <w:rPr>
          <w:rStyle w:val="SingleTxtGChar"/>
        </w:rPr>
        <w:t xml:space="preserve"> ran back to the squad, shots were fired from the house. Having been directed to be vigilant and engage against the adversary if necessary, the whole squad fired back using their M-16 </w:t>
      </w:r>
      <w:proofErr w:type="spellStart"/>
      <w:r w:rsidR="009C09B0" w:rsidRPr="00597508">
        <w:rPr>
          <w:rStyle w:val="SingleTxtGChar"/>
        </w:rPr>
        <w:t>armalite</w:t>
      </w:r>
      <w:proofErr w:type="spellEnd"/>
      <w:r w:rsidR="009C09B0" w:rsidRPr="00597508">
        <w:rPr>
          <w:rStyle w:val="SingleTxtGChar"/>
        </w:rPr>
        <w:t xml:space="preserve"> rifles. The gunfight ca</w:t>
      </w:r>
      <w:r w:rsidR="000029C4" w:rsidRPr="00597508">
        <w:rPr>
          <w:rStyle w:val="SingleTxtGChar"/>
        </w:rPr>
        <w:t>u</w:t>
      </w:r>
      <w:r w:rsidR="009C09B0" w:rsidRPr="00597508">
        <w:rPr>
          <w:rStyle w:val="SingleTxtGChar"/>
        </w:rPr>
        <w:t xml:space="preserve">sed the </w:t>
      </w:r>
      <w:r w:rsidR="00836880" w:rsidRPr="00597508">
        <w:rPr>
          <w:rStyle w:val="SingleTxtGChar"/>
        </w:rPr>
        <w:t xml:space="preserve">immediate </w:t>
      </w:r>
      <w:r w:rsidR="009C09B0" w:rsidRPr="00597508">
        <w:rPr>
          <w:rStyle w:val="SingleTxtGChar"/>
        </w:rPr>
        <w:t xml:space="preserve">death of Bakar </w:t>
      </w:r>
      <w:r w:rsidR="00836880" w:rsidRPr="00597508">
        <w:rPr>
          <w:rStyle w:val="SingleTxtGChar"/>
        </w:rPr>
        <w:t>l</w:t>
      </w:r>
      <w:r w:rsidR="009C09B0" w:rsidRPr="00597508">
        <w:rPr>
          <w:rStyle w:val="SingleTxtGChar"/>
        </w:rPr>
        <w:t xml:space="preserve">, while Carmen </w:t>
      </w:r>
      <w:proofErr w:type="spellStart"/>
      <w:r w:rsidR="009C09B0" w:rsidRPr="00597508">
        <w:rPr>
          <w:rStyle w:val="SingleTxtGChar"/>
        </w:rPr>
        <w:t>Japalali</w:t>
      </w:r>
      <w:proofErr w:type="spellEnd"/>
      <w:r w:rsidR="009C09B0">
        <w:t xml:space="preserve"> died shortly after she was brought to hospital. </w:t>
      </w:r>
      <w:r w:rsidR="00455D07">
        <w:t xml:space="preserve">The State party notes that Bakar </w:t>
      </w:r>
      <w:proofErr w:type="spellStart"/>
      <w:r w:rsidR="00455D07">
        <w:t>Japalali</w:t>
      </w:r>
      <w:proofErr w:type="spellEnd"/>
      <w:r w:rsidR="00455D07">
        <w:t xml:space="preserve"> was an active member of the Moro National Liberation Front (MILF), which is a faction of the SPSG.</w:t>
      </w:r>
      <w:r w:rsidR="00DB3514">
        <w:t xml:space="preserve"> </w:t>
      </w:r>
    </w:p>
    <w:p w14:paraId="706423B1" w14:textId="26D00D27" w:rsidR="00071298" w:rsidRDefault="00071298" w:rsidP="005F7C25">
      <w:pPr>
        <w:pStyle w:val="SingleTxtG"/>
        <w:rPr>
          <w:b/>
        </w:rPr>
      </w:pPr>
      <w:r w:rsidRPr="000029C4">
        <w:t>4.2</w:t>
      </w:r>
      <w:r w:rsidR="009C09B0" w:rsidRPr="000029C4">
        <w:tab/>
        <w:t xml:space="preserve">The State party contends that the communication is inadmissible because the author has failed to exhaust </w:t>
      </w:r>
      <w:r w:rsidR="00D552EC">
        <w:t xml:space="preserve">available </w:t>
      </w:r>
      <w:r w:rsidR="009C09B0" w:rsidRPr="000029C4">
        <w:t>domestic remedies.</w:t>
      </w:r>
      <w:r w:rsidR="00704DF0">
        <w:t xml:space="preserve"> Although an acquittal judgement is final and not </w:t>
      </w:r>
      <w:r w:rsidR="00704DF0">
        <w:lastRenderedPageBreak/>
        <w:t>subject to appeal</w:t>
      </w:r>
      <w:r w:rsidR="0084659C">
        <w:t xml:space="preserve"> under Philippine law -</w:t>
      </w:r>
      <w:r w:rsidR="00704DF0">
        <w:t>based on the constitutional righ</w:t>
      </w:r>
      <w:r w:rsidR="00B52D00">
        <w:t>t against double jeopardy</w:t>
      </w:r>
      <w:r w:rsidR="0084659C">
        <w:t>-</w:t>
      </w:r>
      <w:r w:rsidR="00B52D00">
        <w:t>, article 8 (1) of the Constitution</w:t>
      </w:r>
      <w:r w:rsidR="00B52D00">
        <w:rPr>
          <w:rStyle w:val="FootnoteReference"/>
        </w:rPr>
        <w:footnoteReference w:id="7"/>
      </w:r>
      <w:r w:rsidR="00B52D00">
        <w:t xml:space="preserve"> does allow for judicial review of acquittal decisions in criminal cases.</w:t>
      </w:r>
      <w:r w:rsidR="00715264">
        <w:t xml:space="preserve"> An acquittal judgement may be reviewed through a petition for certiorari under rule 65 of the Revised Rules of </w:t>
      </w:r>
      <w:r w:rsidR="0084659C">
        <w:t>Court</w:t>
      </w:r>
      <w:r w:rsidR="00715264">
        <w:rPr>
          <w:rStyle w:val="FootnoteReference"/>
        </w:rPr>
        <w:footnoteReference w:id="8"/>
      </w:r>
      <w:r w:rsidR="0084659C">
        <w:t xml:space="preserve">, which is a special </w:t>
      </w:r>
      <w:r w:rsidR="00FB35CF">
        <w:t>civil action in case of lack of</w:t>
      </w:r>
      <w:r w:rsidR="0084659C">
        <w:t xml:space="preserve"> or excess of jurisdiction. Such petitions do not serve to re-examine the facts and evidence in criminal cases. Its function is merely to annul or modify the proceedings before a tribunal, board or office that acted without jurisdiction</w:t>
      </w:r>
      <w:r w:rsidR="00D42A60">
        <w:t xml:space="preserve"> or with grave abuse of discretion amounting to excess or lack of jurisdiction.</w:t>
      </w:r>
      <w:r w:rsidR="0084659C">
        <w:t xml:space="preserve"> </w:t>
      </w:r>
      <w:r w:rsidR="00DA0799">
        <w:t>Grave abuse of discretion generally refers to capricious or whimsical exercise of judgment that is equivalent to lack of jurisdiction. An abuse of discretion must be patent and gross as to amount to an evasion of a positive duty or virtual refusal to perform a duty imposed by law, or to act in contemplation of law or in an arbitrary and despotic manner by reason of passion and hostility.</w:t>
      </w:r>
      <w:r w:rsidR="00D552EC">
        <w:t xml:space="preserve"> No grave abuse of discretion may be attributed to a court simply because of its alleged misapplication of facts and evidence, or erroneous conclusions based on such evidence. Certiorari will be issued only to correct errors of jurisdiction and not errors or mistakes in the findings and conclusions of the trial court.</w:t>
      </w:r>
    </w:p>
    <w:p w14:paraId="4CBA2D3E" w14:textId="6CBC8256" w:rsidR="00D552EC" w:rsidRDefault="00D552EC" w:rsidP="00BD2E76">
      <w:pPr>
        <w:pStyle w:val="SingleTxtG"/>
        <w:rPr>
          <w:b/>
        </w:rPr>
      </w:pPr>
      <w:r w:rsidRPr="00D552EC">
        <w:t>4.3</w:t>
      </w:r>
      <w:r w:rsidRPr="00D552EC">
        <w:tab/>
        <w:t>The State party alleges that another domestic remedy available to the author was to file a civil claim independently from the criminal prosecution of the offence. Article 29 of the New Civil Code of the Philippines clearly and expressly provides for a remedy for the plaintiff in case the defendant has been acquitted in a criminal prosecution on the grounds that his guilt has not been proven beyond reasonable doubt.</w:t>
      </w:r>
    </w:p>
    <w:p w14:paraId="1D668BC0" w14:textId="13992614" w:rsidR="002A0E3F" w:rsidRDefault="002A0E3F" w:rsidP="00BD2E76">
      <w:pPr>
        <w:pStyle w:val="SingleTxtG"/>
        <w:rPr>
          <w:b/>
        </w:rPr>
      </w:pPr>
      <w:r w:rsidRPr="002A0E3F">
        <w:t>4.4</w:t>
      </w:r>
      <w:r w:rsidRPr="002A0E3F">
        <w:tab/>
      </w:r>
      <w:r w:rsidR="007B52AD">
        <w:t xml:space="preserve">Finally, the State party alleges that </w:t>
      </w:r>
      <w:r w:rsidR="00D90168">
        <w:t>the author could have claimed compensation u</w:t>
      </w:r>
      <w:r w:rsidR="007B52AD">
        <w:t>n</w:t>
      </w:r>
      <w:r w:rsidR="00D90168">
        <w:t xml:space="preserve">der Act No. 7309, known as “Act creating a board of claims under the Department of Justice for victims of unjust imprisonment or detention and victims of violent crimes and for other purposes”. This Act allows victims of violent crimes to request grants of up </w:t>
      </w:r>
      <w:r w:rsidR="00836880">
        <w:t>to 10,000 Philippine pesos (approximately 190 USD)</w:t>
      </w:r>
      <w:r w:rsidR="00D90168">
        <w:t xml:space="preserve"> to reimburse expenses incurred as a result of the injury, including </w:t>
      </w:r>
      <w:r w:rsidR="00D72E76">
        <w:t xml:space="preserve">medical </w:t>
      </w:r>
      <w:r w:rsidR="00D90168">
        <w:t>and psychological expenses.</w:t>
      </w:r>
      <w:r w:rsidR="00C2140E">
        <w:t xml:space="preserve"> Section 6 of this Act provide</w:t>
      </w:r>
      <w:r w:rsidR="00D72E76">
        <w:t>s</w:t>
      </w:r>
      <w:r w:rsidR="00C2140E">
        <w:t xml:space="preserve"> that, in case of death of the victim</w:t>
      </w:r>
      <w:r w:rsidR="00D72E76">
        <w:t>s</w:t>
      </w:r>
      <w:r w:rsidR="00C2140E">
        <w:t>, the claim may be filed by their relatives.</w:t>
      </w:r>
    </w:p>
    <w:p w14:paraId="020C11A1" w14:textId="266B12F3" w:rsidR="00336BD9" w:rsidRDefault="00336BD9" w:rsidP="00BD2E76">
      <w:pPr>
        <w:pStyle w:val="SingleTxtG"/>
        <w:rPr>
          <w:b/>
        </w:rPr>
      </w:pPr>
      <w:r>
        <w:t>4.5</w:t>
      </w:r>
      <w:r>
        <w:tab/>
        <w:t xml:space="preserve">The State party argues that the author tacitly seeks to have a final </w:t>
      </w:r>
      <w:r w:rsidR="00FF0817">
        <w:t xml:space="preserve">decision </w:t>
      </w:r>
      <w:r>
        <w:t xml:space="preserve">re-opened with a view to have the acquittal reviewed, reversed or annulled. The relief sought by the author is incompatible with article 14 (7) of the Covenant, which protects the accused against double jeopardy. This prohibition is also a constitutional safeguard under Philippine law embodied in the principle of </w:t>
      </w:r>
      <w:r w:rsidRPr="00CD5F00">
        <w:rPr>
          <w:i/>
        </w:rPr>
        <w:t xml:space="preserve">non </w:t>
      </w:r>
      <w:proofErr w:type="spellStart"/>
      <w:r w:rsidRPr="00CD5F00">
        <w:rPr>
          <w:i/>
        </w:rPr>
        <w:t>bis</w:t>
      </w:r>
      <w:proofErr w:type="spellEnd"/>
      <w:r w:rsidRPr="00CD5F00">
        <w:rPr>
          <w:i/>
        </w:rPr>
        <w:t xml:space="preserve"> in idem</w:t>
      </w:r>
      <w:r>
        <w:t xml:space="preserve"> and seeks </w:t>
      </w:r>
      <w:r w:rsidR="000A7943">
        <w:t>to</w:t>
      </w:r>
      <w:r>
        <w:t>: a) prevent the State from using its criminal procedure as “an instrument  of harassment to wear out the accused by a multitude of cases with accumulated trials”; b) preclude the State from successively retrying an acquitted defendant in th</w:t>
      </w:r>
      <w:r w:rsidR="000A7943">
        <w:t>e hope of securing a conviction;</w:t>
      </w:r>
      <w:r>
        <w:t xml:space="preserve"> and c) prevent the State from retrying a convicted defendant in the hope of securing a greater penalty. The interest in the </w:t>
      </w:r>
      <w:r w:rsidR="00A70102">
        <w:t>“</w:t>
      </w:r>
      <w:r>
        <w:t>finality-of-acquittal rule</w:t>
      </w:r>
      <w:r w:rsidR="00A70102">
        <w:t>”</w:t>
      </w:r>
      <w:r>
        <w:t>, confined exclusively to verdicts of not guilty, is understood as a need for “repose” or desire to know the exact extent of one’s liability. After all, the burden of proof remains at all times upon the prosecution to establish the guilt of the accused beyond reasonable doubt. As often reiterated by the Supreme Court of the Philippines, “</w:t>
      </w:r>
      <w:proofErr w:type="gramStart"/>
      <w:r>
        <w:t>it</w:t>
      </w:r>
      <w:proofErr w:type="gramEnd"/>
      <w:r>
        <w:t xml:space="preserve"> would be better to set </w:t>
      </w:r>
      <w:r>
        <w:lastRenderedPageBreak/>
        <w:t>free ten men who might probably be guilty of the crime charged than to convict one innocent man for a crime he did not commit.”</w:t>
      </w:r>
    </w:p>
    <w:p w14:paraId="240D0EE7" w14:textId="0190F7CE" w:rsidR="00336BD9" w:rsidRDefault="00336BD9" w:rsidP="00BD2E76">
      <w:pPr>
        <w:pStyle w:val="SingleTxtG"/>
        <w:rPr>
          <w:b/>
        </w:rPr>
      </w:pPr>
      <w:r>
        <w:t>4.6</w:t>
      </w:r>
      <w:r>
        <w:tab/>
        <w:t>The State party adds that rights under national law are created by the State and are subject to its sovereign authority to legislate and to interpret its legislation. The court’s interpretation of the substantive provisions of the Philippine law on homicide can no longer be assailed by operation of the principle of res judicata. The present communication should therefore be considered inadmissible as it would be tantamount to double jeopardy.</w:t>
      </w:r>
    </w:p>
    <w:p w14:paraId="24017D5A" w14:textId="09F601F3" w:rsidR="009C1BC6" w:rsidRDefault="00336BD9" w:rsidP="009C1BC6">
      <w:pPr>
        <w:spacing w:after="120"/>
        <w:ind w:left="1134" w:right="1134"/>
        <w:jc w:val="both"/>
      </w:pPr>
      <w:r>
        <w:t>4.7</w:t>
      </w:r>
      <w:r>
        <w:tab/>
      </w:r>
      <w:r w:rsidR="009C1BC6">
        <w:t>On the merits, the State party notes that the Philippine legal system p</w:t>
      </w:r>
      <w:r w:rsidR="00A70102">
        <w:t>rovides that in criminal cases</w:t>
      </w:r>
      <w:r w:rsidR="00E85569">
        <w:t xml:space="preserve">, </w:t>
      </w:r>
      <w:r w:rsidR="009C1BC6">
        <w:t xml:space="preserve">where a constitutional </w:t>
      </w:r>
      <w:r w:rsidR="00A70102">
        <w:t>presumption of innocence exists,</w:t>
      </w:r>
      <w:r w:rsidR="009C1BC6">
        <w:t xml:space="preserve"> due process guarantees require that a defendant cannot be found guilty unless the State has borne the burden of proving his guilt beyond reasonable doubt, after a lawful hearing where issues and evidence are assessed through direct and cross-examination of witnesses. The reasonable doubt standard is indispensable to ensure certitude about the facts in question. Such standard is also indispensable to ensure community respect for criminal law in a free society.</w:t>
      </w:r>
    </w:p>
    <w:p w14:paraId="6832B079" w14:textId="148C6D02" w:rsidR="009C1BC6" w:rsidRPr="0039255D" w:rsidRDefault="009C1BC6" w:rsidP="009C1BC6">
      <w:pPr>
        <w:spacing w:after="120"/>
        <w:ind w:left="1134" w:right="1134"/>
        <w:jc w:val="both"/>
        <w:rPr>
          <w:lang w:val="en-US"/>
        </w:rPr>
      </w:pPr>
      <w:r>
        <w:t>4.8</w:t>
      </w:r>
      <w:r>
        <w:tab/>
        <w:t>All the due process requirements were present in this case</w:t>
      </w:r>
      <w:r w:rsidR="00C30437">
        <w:rPr>
          <w:lang w:val="en-US"/>
        </w:rPr>
        <w:t>: a) the</w:t>
      </w:r>
      <w:r>
        <w:rPr>
          <w:lang w:val="en-US"/>
        </w:rPr>
        <w:t xml:space="preserve"> court </w:t>
      </w:r>
      <w:r w:rsidR="00C30437">
        <w:rPr>
          <w:lang w:val="en-US"/>
        </w:rPr>
        <w:t>was vested</w:t>
      </w:r>
      <w:r>
        <w:rPr>
          <w:lang w:val="en-US"/>
        </w:rPr>
        <w:t xml:space="preserve"> with judicial power to </w:t>
      </w:r>
      <w:r w:rsidR="00C30437">
        <w:rPr>
          <w:lang w:val="en-US"/>
        </w:rPr>
        <w:t>consider the matter before it;</w:t>
      </w:r>
      <w:r>
        <w:rPr>
          <w:lang w:val="en-US"/>
        </w:rPr>
        <w:t xml:space="preserve"> b) </w:t>
      </w:r>
      <w:r w:rsidR="00C30437">
        <w:rPr>
          <w:lang w:val="en-US"/>
        </w:rPr>
        <w:t xml:space="preserve">its </w:t>
      </w:r>
      <w:r>
        <w:rPr>
          <w:lang w:val="en-US"/>
        </w:rPr>
        <w:t xml:space="preserve">jurisdiction </w:t>
      </w:r>
      <w:r w:rsidR="00C30437">
        <w:rPr>
          <w:lang w:val="en-US"/>
        </w:rPr>
        <w:t xml:space="preserve">was </w:t>
      </w:r>
      <w:r>
        <w:rPr>
          <w:lang w:val="en-US"/>
        </w:rPr>
        <w:t>lawfully acquired o</w:t>
      </w:r>
      <w:r w:rsidR="00C30437">
        <w:rPr>
          <w:lang w:val="en-US"/>
        </w:rPr>
        <w:t>ver the accused and the offence;</w:t>
      </w:r>
      <w:r>
        <w:rPr>
          <w:lang w:val="en-US"/>
        </w:rPr>
        <w:t xml:space="preserve"> c) the prosecution and the accused were gi</w:t>
      </w:r>
      <w:r w:rsidR="00C30437">
        <w:rPr>
          <w:lang w:val="en-US"/>
        </w:rPr>
        <w:t>ven the opportunity to be heard;</w:t>
      </w:r>
      <w:r>
        <w:rPr>
          <w:lang w:val="en-US"/>
        </w:rPr>
        <w:t xml:space="preserve"> and d) the judgment was rendered upon a lawful hearing. All the accused were duly </w:t>
      </w:r>
      <w:r w:rsidR="00FF0817">
        <w:rPr>
          <w:lang w:val="en-US"/>
        </w:rPr>
        <w:t xml:space="preserve">subjected to </w:t>
      </w:r>
      <w:r>
        <w:rPr>
          <w:lang w:val="en-US"/>
        </w:rPr>
        <w:t xml:space="preserve">a comprehensive trial </w:t>
      </w:r>
      <w:r w:rsidR="00FF0817">
        <w:rPr>
          <w:lang w:val="en-US"/>
        </w:rPr>
        <w:t xml:space="preserve">with </w:t>
      </w:r>
      <w:r>
        <w:rPr>
          <w:lang w:val="en-US"/>
        </w:rPr>
        <w:t>private prosecutors under the direct control and supervision of the Public Prosecut</w:t>
      </w:r>
      <w:r w:rsidR="002E7398">
        <w:rPr>
          <w:lang w:val="en-US"/>
        </w:rPr>
        <w:t>or. The prosecution presented twelve</w:t>
      </w:r>
      <w:r>
        <w:rPr>
          <w:lang w:val="en-US"/>
        </w:rPr>
        <w:t xml:space="preserve"> witnesse</w:t>
      </w:r>
      <w:r w:rsidR="002E7398">
        <w:rPr>
          <w:lang w:val="en-US"/>
        </w:rPr>
        <w:t>s while the defense presented ten</w:t>
      </w:r>
      <w:r>
        <w:rPr>
          <w:lang w:val="en-US"/>
        </w:rPr>
        <w:t>. All parties had the opportunity and time to present their evidence. Yet, the prosecution failed to establish the guilt of the accused beyond reasonable doubt, resulting in their acquittal. The State party cites the following elements leading to this result: 1) the accused were ordered by their superior to conduct an operation in response to reliable intelligence information that there were about 30-40 armed men in the vic</w:t>
      </w:r>
      <w:r w:rsidR="002E7398">
        <w:rPr>
          <w:lang w:val="en-US"/>
        </w:rPr>
        <w:t>inity of the victims’ residence;</w:t>
      </w:r>
      <w:r>
        <w:rPr>
          <w:lang w:val="en-US"/>
        </w:rPr>
        <w:t xml:space="preserve"> 2) during the operation, undertaken under foggy darkness, the accused were fired at, resulting in an armed firefight with an unidentified armed group who were using firearms different from those used by the accused, as was revealed from the cartrid</w:t>
      </w:r>
      <w:r w:rsidR="002E7398">
        <w:rPr>
          <w:lang w:val="en-US"/>
        </w:rPr>
        <w:t>ges later found</w:t>
      </w:r>
      <w:r w:rsidR="001A3A83">
        <w:rPr>
          <w:lang w:val="en-US"/>
        </w:rPr>
        <w:t xml:space="preserve"> at</w:t>
      </w:r>
      <w:r w:rsidR="002E7398">
        <w:rPr>
          <w:lang w:val="en-US"/>
        </w:rPr>
        <w:t xml:space="preserve"> the scene;</w:t>
      </w:r>
      <w:r>
        <w:rPr>
          <w:lang w:val="en-US"/>
        </w:rPr>
        <w:t xml:space="preserve"> 3) Bakar </w:t>
      </w:r>
      <w:proofErr w:type="spellStart"/>
      <w:r>
        <w:rPr>
          <w:lang w:val="en-US"/>
        </w:rPr>
        <w:t>Japalali</w:t>
      </w:r>
      <w:proofErr w:type="spellEnd"/>
      <w:r>
        <w:rPr>
          <w:lang w:val="en-US"/>
        </w:rPr>
        <w:t xml:space="preserve"> was identified by the author as an active member of the armed secessionist group</w:t>
      </w:r>
      <w:r w:rsidR="002E7398">
        <w:rPr>
          <w:lang w:val="en-US"/>
        </w:rPr>
        <w:t xml:space="preserve"> Moro National Liberation Front;</w:t>
      </w:r>
      <w:r>
        <w:rPr>
          <w:lang w:val="en-US"/>
        </w:rPr>
        <w:t xml:space="preserve"> 4) Bakar </w:t>
      </w:r>
      <w:proofErr w:type="spellStart"/>
      <w:r>
        <w:rPr>
          <w:lang w:val="en-US"/>
        </w:rPr>
        <w:t>Japalali</w:t>
      </w:r>
      <w:proofErr w:type="spellEnd"/>
      <w:r>
        <w:rPr>
          <w:lang w:val="en-US"/>
        </w:rPr>
        <w:t xml:space="preserve"> was wearing </w:t>
      </w:r>
      <w:r w:rsidR="004042F9">
        <w:rPr>
          <w:lang w:val="en-US"/>
        </w:rPr>
        <w:t xml:space="preserve">a </w:t>
      </w:r>
      <w:r>
        <w:rPr>
          <w:lang w:val="en-US"/>
        </w:rPr>
        <w:t>camouflage outfit at the time of his death, an attire regularly worn by</w:t>
      </w:r>
      <w:r w:rsidR="002E7398">
        <w:rPr>
          <w:lang w:val="en-US"/>
        </w:rPr>
        <w:t xml:space="preserve"> members of secessionist groups;</w:t>
      </w:r>
      <w:r>
        <w:rPr>
          <w:lang w:val="en-US"/>
        </w:rPr>
        <w:t xml:space="preserve"> 5) the prosecution did not dispute the intelligence information about the presence of suspected armed secessionist rebels or the lawfulness of t</w:t>
      </w:r>
      <w:r w:rsidR="002E7398">
        <w:rPr>
          <w:lang w:val="en-US"/>
        </w:rPr>
        <w:t>he order for a strike operation;</w:t>
      </w:r>
      <w:r>
        <w:rPr>
          <w:lang w:val="en-US"/>
        </w:rPr>
        <w:t xml:space="preserve"> 6) the court observed the pool of blood in front of Bakar’s knees, which did not show any indication of belonging to his body, or the blood on the fold of the mosquito net, or the ab</w:t>
      </w:r>
      <w:r w:rsidR="002E7398">
        <w:rPr>
          <w:lang w:val="en-US"/>
        </w:rPr>
        <w:t>sence of bullet hits on the net;</w:t>
      </w:r>
      <w:r>
        <w:rPr>
          <w:lang w:val="en-US"/>
        </w:rPr>
        <w:t xml:space="preserve"> 7) the crime scene was contaminated or tampered with, as civilians</w:t>
      </w:r>
      <w:r w:rsidR="001A3A83">
        <w:rPr>
          <w:lang w:val="en-US"/>
        </w:rPr>
        <w:t xml:space="preserve"> were already present</w:t>
      </w:r>
      <w:r>
        <w:rPr>
          <w:lang w:val="en-US"/>
        </w:rPr>
        <w:t xml:space="preserve"> at the </w:t>
      </w:r>
      <w:r w:rsidR="004042F9">
        <w:rPr>
          <w:lang w:val="en-US"/>
        </w:rPr>
        <w:t>location</w:t>
      </w:r>
      <w:r w:rsidR="00F5431A">
        <w:rPr>
          <w:lang w:val="en-US"/>
        </w:rPr>
        <w:t xml:space="preserve"> before the police arrived;</w:t>
      </w:r>
      <w:r>
        <w:rPr>
          <w:lang w:val="en-US"/>
        </w:rPr>
        <w:t xml:space="preserve"> 8) a testimony was given that Bakar’s body was seen on the floor </w:t>
      </w:r>
      <w:r w:rsidR="00F5431A">
        <w:rPr>
          <w:lang w:val="en-US"/>
        </w:rPr>
        <w:t>but not inside the mosquito net;</w:t>
      </w:r>
      <w:r>
        <w:rPr>
          <w:lang w:val="en-US"/>
        </w:rPr>
        <w:t xml:space="preserve"> 9) </w:t>
      </w:r>
      <w:r w:rsidR="004F2447">
        <w:rPr>
          <w:lang w:val="en-US"/>
        </w:rPr>
        <w:t xml:space="preserve">Bakar’s brother, </w:t>
      </w:r>
      <w:proofErr w:type="spellStart"/>
      <w:r w:rsidR="004F2447">
        <w:rPr>
          <w:lang w:val="en-US"/>
        </w:rPr>
        <w:t>Talab</w:t>
      </w:r>
      <w:proofErr w:type="spellEnd"/>
      <w:r w:rsidR="004F2447">
        <w:rPr>
          <w:lang w:val="en-US"/>
        </w:rPr>
        <w:t>,</w:t>
      </w:r>
      <w:r>
        <w:rPr>
          <w:lang w:val="en-US"/>
        </w:rPr>
        <w:t xml:space="preserve"> was seen coming in and out of the victims’ </w:t>
      </w:r>
      <w:r w:rsidR="00F5431A">
        <w:rPr>
          <w:lang w:val="en-US"/>
        </w:rPr>
        <w:t>house before the police arrived;</w:t>
      </w:r>
      <w:r>
        <w:rPr>
          <w:lang w:val="en-US"/>
        </w:rPr>
        <w:t xml:space="preserve"> and 10) the accused </w:t>
      </w:r>
      <w:r w:rsidR="00FF0817">
        <w:rPr>
          <w:lang w:val="en-US"/>
        </w:rPr>
        <w:t xml:space="preserve">would </w:t>
      </w:r>
      <w:r>
        <w:rPr>
          <w:lang w:val="en-US"/>
        </w:rPr>
        <w:t>not have engaged in a gunfight unless they were provoked or fired upon first.</w:t>
      </w:r>
    </w:p>
    <w:p w14:paraId="7BA8F66F" w14:textId="77777777" w:rsidR="009C1BC6" w:rsidRDefault="009C1BC6" w:rsidP="009C1BC6">
      <w:pPr>
        <w:spacing w:after="120"/>
        <w:ind w:left="1134" w:right="1134"/>
        <w:jc w:val="both"/>
        <w:rPr>
          <w:lang w:val="en-US"/>
        </w:rPr>
      </w:pPr>
      <w:r>
        <w:t>4.9</w:t>
      </w:r>
      <w:r>
        <w:tab/>
        <w:t xml:space="preserve">The State party contends that the author is contesting the evaluation of facts and evidence and the application of domestic legislation by the State party’s courts. It notes that there is no evidence that the proceedings before the Regional Trial Court of </w:t>
      </w:r>
      <w:proofErr w:type="spellStart"/>
      <w:r>
        <w:t>Tagum</w:t>
      </w:r>
      <w:proofErr w:type="spellEnd"/>
      <w:r>
        <w:t xml:space="preserve"> City were arbitrary or amounted to a denial of justice. While the author questions the competence, independence and impartiality of the tribunal that rendered the judgment of acquittal, he </w:t>
      </w:r>
      <w:r w:rsidR="00F5431A">
        <w:t xml:space="preserve">has </w:t>
      </w:r>
      <w:r>
        <w:t xml:space="preserve">failed to substantiate such serious allegations. On the contrary, the State party states that the proceedings were fair and free from any taint of irregularity. The author was afforded procedural and substantive due process. The private complainants in the criminal proceedings hired private counsels of their choice to act as private prosecutors, and were given ample opportunity to present witnesses and to cross-examine the witnesses of the defence. The author does not identify any irregularities in the proceedings but merely challenges the findings of the </w:t>
      </w:r>
      <w:r>
        <w:lastRenderedPageBreak/>
        <w:t>Court. Yet, the Committee is not an appellate tribunal for failed prosecutions and does not intervene in matters within the State</w:t>
      </w:r>
      <w:r>
        <w:rPr>
          <w:lang w:val="en-US"/>
        </w:rPr>
        <w:t>’s exclusive jurisdiction, particularly on the determination of the guilt or innocence of an accused. Doing so would impinge on the independence of the judiciary and violate article 2 (7) of the United Nations Charter.</w:t>
      </w:r>
      <w:r>
        <w:rPr>
          <w:rStyle w:val="FootnoteReference"/>
          <w:lang w:val="en-US"/>
        </w:rPr>
        <w:footnoteReference w:id="9"/>
      </w:r>
    </w:p>
    <w:p w14:paraId="1C02F06B" w14:textId="77777777" w:rsidR="009C1BC6" w:rsidRDefault="009C1BC6" w:rsidP="009C1BC6">
      <w:pPr>
        <w:spacing w:after="120"/>
        <w:ind w:left="1134" w:right="1134"/>
        <w:jc w:val="both"/>
        <w:rPr>
          <w:lang w:val="en-US"/>
        </w:rPr>
      </w:pPr>
      <w:r>
        <w:rPr>
          <w:lang w:val="en-US"/>
        </w:rPr>
        <w:t>4.10</w:t>
      </w:r>
      <w:r>
        <w:rPr>
          <w:lang w:val="en-US"/>
        </w:rPr>
        <w:tab/>
        <w:t xml:space="preserve">The State party contends that the actions of the army officers that resulted in the deaths of the victims were neither unlawful nor arbitrary and therefore did not violate article 6 of the Covenant. The </w:t>
      </w:r>
      <w:proofErr w:type="spellStart"/>
      <w:r>
        <w:rPr>
          <w:lang w:val="en-US"/>
        </w:rPr>
        <w:t>Japalali</w:t>
      </w:r>
      <w:proofErr w:type="spellEnd"/>
      <w:r>
        <w:rPr>
          <w:lang w:val="en-US"/>
        </w:rPr>
        <w:t xml:space="preserve"> couple was killed during a legitimate military strike operation. The order was given by a superior for a lawful purpose and using lawful means. </w:t>
      </w:r>
    </w:p>
    <w:p w14:paraId="37CE0885" w14:textId="77777777" w:rsidR="009C1BC6" w:rsidRDefault="009C1BC6" w:rsidP="009C1BC6">
      <w:pPr>
        <w:spacing w:after="120"/>
        <w:ind w:left="1134" w:right="1134"/>
        <w:jc w:val="both"/>
        <w:rPr>
          <w:lang w:val="en-US"/>
        </w:rPr>
      </w:pPr>
      <w:r>
        <w:rPr>
          <w:lang w:val="en-US"/>
        </w:rPr>
        <w:t>4.11</w:t>
      </w:r>
      <w:r>
        <w:rPr>
          <w:lang w:val="en-US"/>
        </w:rPr>
        <w:tab/>
        <w:t>By failing to prove the guilt of the accused beyond reasonable doubt, the prosecution also failed to overcome their presumption of innocence. In that context, it is not only the right of the accused but also the court’s constitutional duty to acquit them. T</w:t>
      </w:r>
      <w:r w:rsidR="00302511">
        <w:rPr>
          <w:lang w:val="en-US"/>
        </w:rPr>
        <w:t xml:space="preserve">he Regional Trial Court of </w:t>
      </w:r>
      <w:proofErr w:type="spellStart"/>
      <w:r w:rsidR="00302511">
        <w:rPr>
          <w:lang w:val="en-US"/>
        </w:rPr>
        <w:t>Tagum</w:t>
      </w:r>
      <w:proofErr w:type="spellEnd"/>
      <w:r>
        <w:rPr>
          <w:lang w:val="en-US"/>
        </w:rPr>
        <w:t xml:space="preserve"> City correctly served justice in </w:t>
      </w:r>
      <w:proofErr w:type="spellStart"/>
      <w:r>
        <w:rPr>
          <w:lang w:val="en-US"/>
        </w:rPr>
        <w:t>favour</w:t>
      </w:r>
      <w:proofErr w:type="spellEnd"/>
      <w:r>
        <w:rPr>
          <w:lang w:val="en-US"/>
        </w:rPr>
        <w:t xml:space="preserve"> of the accused’</w:t>
      </w:r>
      <w:r w:rsidR="001A3A83">
        <w:rPr>
          <w:lang w:val="en-US"/>
        </w:rPr>
        <w:t>s</w:t>
      </w:r>
      <w:r>
        <w:rPr>
          <w:lang w:val="en-US"/>
        </w:rPr>
        <w:t xml:space="preserve"> innocence. </w:t>
      </w:r>
    </w:p>
    <w:p w14:paraId="7629B360" w14:textId="77777777" w:rsidR="009C1BC6" w:rsidRPr="00647697" w:rsidRDefault="009C1BC6" w:rsidP="009C1BC6">
      <w:pPr>
        <w:spacing w:after="120"/>
        <w:ind w:left="1134" w:right="1134"/>
        <w:jc w:val="both"/>
        <w:rPr>
          <w:lang w:val="en-US"/>
        </w:rPr>
      </w:pPr>
      <w:r>
        <w:rPr>
          <w:lang w:val="en-US"/>
        </w:rPr>
        <w:t>4.12</w:t>
      </w:r>
      <w:r>
        <w:rPr>
          <w:lang w:val="en-US"/>
        </w:rPr>
        <w:tab/>
        <w:t>The State party argues that a disappointed litigant who has been given full access to procedures within a State’s legal system cannot ask for a different treatment to other citizens since that would violate the right of all citizens to equal protection of the laws.</w:t>
      </w:r>
    </w:p>
    <w:p w14:paraId="38D35AA5" w14:textId="6257BBA4" w:rsidR="00FA147F" w:rsidRPr="00FA147F" w:rsidRDefault="00BD2E76" w:rsidP="00BD2E76">
      <w:pPr>
        <w:pStyle w:val="H23G"/>
      </w:pPr>
      <w:r>
        <w:tab/>
      </w:r>
      <w:r>
        <w:tab/>
      </w:r>
      <w:r w:rsidR="00FA147F" w:rsidRPr="00FA147F">
        <w:t>Authors’</w:t>
      </w:r>
      <w:r w:rsidR="0094139B">
        <w:t xml:space="preserve"> comments on the State party’s observations</w:t>
      </w:r>
    </w:p>
    <w:p w14:paraId="1F492DA8" w14:textId="77777777" w:rsidR="008351FF" w:rsidRDefault="00906A15" w:rsidP="00CA5AAA">
      <w:pPr>
        <w:spacing w:before="120" w:after="120" w:line="240" w:lineRule="auto"/>
        <w:ind w:left="1134" w:right="1134"/>
        <w:jc w:val="both"/>
      </w:pPr>
      <w:r>
        <w:t>5.1</w:t>
      </w:r>
      <w:r w:rsidR="008351FF">
        <w:tab/>
      </w:r>
      <w:r w:rsidR="00837002">
        <w:t xml:space="preserve">In </w:t>
      </w:r>
      <w:r w:rsidR="0094139B">
        <w:t>his comments</w:t>
      </w:r>
      <w:r w:rsidR="00281913">
        <w:t xml:space="preserve"> of 5 November 2015, the author alleges that no effective remedies</w:t>
      </w:r>
      <w:r w:rsidR="001A3A83">
        <w:t xml:space="preserve"> are</w:t>
      </w:r>
      <w:r w:rsidR="00281913">
        <w:t xml:space="preserve"> available</w:t>
      </w:r>
      <w:r w:rsidR="001A3A83">
        <w:t xml:space="preserve"> in his case</w:t>
      </w:r>
      <w:r w:rsidR="00281913">
        <w:t xml:space="preserve">. The petition for certiorari under Rule 65 of the Rules of Court is available but allows as the only possible ground a grave abuse of discretion amounting to lack or excess of jurisdiction. Under this remedy, there is no possibility to raise errors of law or of fact as it is limited to issues </w:t>
      </w:r>
      <w:r w:rsidR="00E917C3">
        <w:t>of jurisdiction.</w:t>
      </w:r>
    </w:p>
    <w:p w14:paraId="556944F8" w14:textId="77777777" w:rsidR="00086CCD" w:rsidRDefault="00CA5AAA" w:rsidP="00D402BB">
      <w:pPr>
        <w:spacing w:after="120"/>
        <w:ind w:left="1134" w:right="1134"/>
        <w:jc w:val="both"/>
      </w:pPr>
      <w:r>
        <w:t>5.2</w:t>
      </w:r>
      <w:r>
        <w:tab/>
      </w:r>
      <w:r w:rsidR="003F62D2">
        <w:t>As to the State party’s argument that the author could have filed a separate civil action claiming compensation for damages under article 29 of the New Civil Code, or that he could have claimed compensation under the Republic Act No. 7309, the author states that equating justice for arbitrary deprivation of life to monetary compensation is unacceptable.</w:t>
      </w:r>
    </w:p>
    <w:p w14:paraId="4287CE1D" w14:textId="77777777" w:rsidR="003F62D2" w:rsidRDefault="003F62D2" w:rsidP="00D402BB">
      <w:pPr>
        <w:spacing w:after="120"/>
        <w:ind w:left="1134" w:right="1134"/>
        <w:jc w:val="both"/>
      </w:pPr>
      <w:r>
        <w:t>5.3</w:t>
      </w:r>
      <w:r>
        <w:tab/>
        <w:t>The author states that the remedies available are ineffective and that the State party has a duty to provide the author with an effective remedy for a violation of article 6 of the Covenant. He adds that the defendant’s right against double jeopardy should not be used to diminish the right of victims to an effective remedy for arbitrary deprivation of life.</w:t>
      </w:r>
    </w:p>
    <w:p w14:paraId="6EFAF737" w14:textId="77777777" w:rsidR="003F62D2" w:rsidRPr="003F62D2" w:rsidRDefault="003F62D2" w:rsidP="003F62D2">
      <w:pPr>
        <w:spacing w:after="120"/>
        <w:ind w:left="1134" w:right="1134"/>
        <w:jc w:val="both"/>
      </w:pPr>
      <w:r>
        <w:t>5.4</w:t>
      </w:r>
      <w:r>
        <w:tab/>
        <w:t>The author states that the arbitrary deprivation of life is confirmed, in particular, by the fact that the victims were shot at while they were sleeping, and that the army squad opened fire on the shanty house without any provocation and without first verifying that indeed there was an armed group composed of 30 to 40 men within the vicinity. The victims did nothing to justify the heavy onslaught to which they were subjected.</w:t>
      </w:r>
    </w:p>
    <w:p w14:paraId="2CEADA2A" w14:textId="77777777" w:rsidR="00D50DC0" w:rsidRPr="00A36331" w:rsidRDefault="00EE0B71" w:rsidP="00430FB9">
      <w:pPr>
        <w:pStyle w:val="H23G"/>
        <w:spacing w:after="240" w:line="240" w:lineRule="auto"/>
        <w:outlineLvl w:val="0"/>
      </w:pPr>
      <w:r>
        <w:tab/>
      </w:r>
      <w:r>
        <w:tab/>
      </w:r>
      <w:r w:rsidR="00D50DC0" w:rsidRPr="00A36331">
        <w:t>Issues and proceedings before the Committee</w:t>
      </w:r>
    </w:p>
    <w:p w14:paraId="48C0475D" w14:textId="77777777" w:rsidR="00D50DC0" w:rsidRPr="00A36331" w:rsidRDefault="00D50DC0" w:rsidP="00C244D0">
      <w:pPr>
        <w:pStyle w:val="H4G"/>
        <w:spacing w:line="240" w:lineRule="auto"/>
        <w:outlineLvl w:val="0"/>
        <w:rPr>
          <w:lang w:val="en-US"/>
        </w:rPr>
      </w:pPr>
      <w:r w:rsidRPr="00A36331">
        <w:rPr>
          <w:lang w:val="en-US"/>
        </w:rPr>
        <w:tab/>
      </w:r>
      <w:r w:rsidRPr="00A36331">
        <w:rPr>
          <w:lang w:val="en-US"/>
        </w:rPr>
        <w:tab/>
        <w:t>Consideration of admissibility</w:t>
      </w:r>
    </w:p>
    <w:p w14:paraId="137E86EA" w14:textId="00AEE654" w:rsidR="00D50DC0" w:rsidRPr="00A36331" w:rsidRDefault="009B04E6" w:rsidP="00D50DC0">
      <w:pPr>
        <w:pStyle w:val="SingleTxtG"/>
        <w:spacing w:line="240" w:lineRule="auto"/>
        <w:rPr>
          <w:lang w:val="en-US"/>
        </w:rPr>
      </w:pPr>
      <w:r>
        <w:rPr>
          <w:lang w:val="en-US"/>
        </w:rPr>
        <w:t>6</w:t>
      </w:r>
      <w:r w:rsidR="00BD2E76">
        <w:rPr>
          <w:lang w:val="en-US"/>
        </w:rPr>
        <w:t>.1</w:t>
      </w:r>
      <w:r w:rsidR="00D50DC0" w:rsidRPr="00A36331">
        <w:rPr>
          <w:lang w:val="en-US"/>
        </w:rPr>
        <w:tab/>
        <w:t>Before considering any claims contained in a communication, the Human Rights Committee must, in accordance with rule 93 of its rules of procedure, decide whether or not it is admissible under the Optional Protocol to the Covenant.</w:t>
      </w:r>
    </w:p>
    <w:p w14:paraId="780A8776" w14:textId="08B443F9" w:rsidR="00D50DC0" w:rsidRPr="00307A03" w:rsidRDefault="009B04E6" w:rsidP="00927527">
      <w:pPr>
        <w:pStyle w:val="SingleTxtG"/>
        <w:rPr>
          <w:lang w:val="en-US"/>
        </w:rPr>
      </w:pPr>
      <w:r>
        <w:rPr>
          <w:lang w:val="en-US"/>
        </w:rPr>
        <w:t>6</w:t>
      </w:r>
      <w:r w:rsidR="00BD2E76">
        <w:rPr>
          <w:lang w:val="en-US"/>
        </w:rPr>
        <w:t>.2</w:t>
      </w:r>
      <w:r w:rsidR="00D50DC0" w:rsidRPr="00A36331">
        <w:rPr>
          <w:lang w:val="en-US"/>
        </w:rPr>
        <w:tab/>
      </w:r>
      <w:r w:rsidR="0034702B">
        <w:rPr>
          <w:lang w:val="en-US"/>
        </w:rPr>
        <w:t xml:space="preserve">As required under article 5, paragraph 2 (a), the Committee has ascertained that the same matter is not being examined under another procedure of international investigation or </w:t>
      </w:r>
      <w:r w:rsidR="0034702B" w:rsidRPr="00307A03">
        <w:rPr>
          <w:lang w:val="en-US"/>
        </w:rPr>
        <w:t>settlement.</w:t>
      </w:r>
    </w:p>
    <w:p w14:paraId="46FBAC82" w14:textId="0F78F1CF" w:rsidR="007339E4" w:rsidRDefault="009B04E6" w:rsidP="00BD2E76">
      <w:pPr>
        <w:pStyle w:val="SingleTxtG"/>
        <w:rPr>
          <w:b/>
          <w:lang w:val="en-US"/>
        </w:rPr>
      </w:pPr>
      <w:r>
        <w:rPr>
          <w:lang w:val="en-US"/>
        </w:rPr>
        <w:t>6</w:t>
      </w:r>
      <w:r w:rsidR="00927527" w:rsidRPr="00307A03">
        <w:rPr>
          <w:lang w:val="en-US"/>
        </w:rPr>
        <w:t>.3</w:t>
      </w:r>
      <w:r w:rsidR="00927527" w:rsidRPr="00307A03">
        <w:rPr>
          <w:lang w:val="en-US"/>
        </w:rPr>
        <w:tab/>
      </w:r>
      <w:r w:rsidR="00E917C3">
        <w:rPr>
          <w:lang w:val="en-US"/>
        </w:rPr>
        <w:t xml:space="preserve">The Committee takes note of the State party’s argument that domestic remedies </w:t>
      </w:r>
      <w:r w:rsidR="007339E4">
        <w:rPr>
          <w:lang w:val="en-US"/>
        </w:rPr>
        <w:t xml:space="preserve">have not been </w:t>
      </w:r>
      <w:r w:rsidR="00E917C3">
        <w:rPr>
          <w:lang w:val="en-US"/>
        </w:rPr>
        <w:t xml:space="preserve">exhausted </w:t>
      </w:r>
      <w:r w:rsidR="007339E4">
        <w:rPr>
          <w:lang w:val="en-US"/>
        </w:rPr>
        <w:t>because</w:t>
      </w:r>
      <w:r w:rsidR="00E917C3">
        <w:rPr>
          <w:lang w:val="en-US"/>
        </w:rPr>
        <w:t xml:space="preserve"> the author failed to file a petition for certiorari under rule 65 of the Rules of Court</w:t>
      </w:r>
      <w:r w:rsidR="007339E4">
        <w:rPr>
          <w:lang w:val="en-US"/>
        </w:rPr>
        <w:t xml:space="preserve">, </w:t>
      </w:r>
      <w:r w:rsidR="009E4C70">
        <w:rPr>
          <w:lang w:val="en-US"/>
        </w:rPr>
        <w:t xml:space="preserve">on </w:t>
      </w:r>
      <w:r w:rsidR="001978E0">
        <w:rPr>
          <w:lang w:val="en-US"/>
        </w:rPr>
        <w:t xml:space="preserve">the </w:t>
      </w:r>
      <w:r w:rsidR="009E4C70">
        <w:rPr>
          <w:lang w:val="en-US"/>
        </w:rPr>
        <w:t xml:space="preserve">one hand, and because he </w:t>
      </w:r>
      <w:r w:rsidR="007339E4">
        <w:rPr>
          <w:lang w:val="en-US"/>
        </w:rPr>
        <w:t xml:space="preserve">failed to seek compensation </w:t>
      </w:r>
      <w:r w:rsidR="007665F4">
        <w:rPr>
          <w:lang w:val="en-US"/>
        </w:rPr>
        <w:t xml:space="preserve">either </w:t>
      </w:r>
      <w:r w:rsidR="007339E4">
        <w:rPr>
          <w:lang w:val="en-US"/>
        </w:rPr>
        <w:t xml:space="preserve">under article 29 of the New Civil Code </w:t>
      </w:r>
      <w:r w:rsidR="009E4C70">
        <w:rPr>
          <w:lang w:val="en-US"/>
        </w:rPr>
        <w:t xml:space="preserve">(civil claim) </w:t>
      </w:r>
      <w:r w:rsidR="007339E4">
        <w:rPr>
          <w:lang w:val="en-US"/>
        </w:rPr>
        <w:t>or under Act No. 7309</w:t>
      </w:r>
      <w:r w:rsidR="009E4C70">
        <w:rPr>
          <w:lang w:val="en-US"/>
        </w:rPr>
        <w:t xml:space="preserve"> (grant for victims of violent crimes)</w:t>
      </w:r>
      <w:r w:rsidR="001978E0">
        <w:rPr>
          <w:lang w:val="en-US"/>
        </w:rPr>
        <w:t>, on the other</w:t>
      </w:r>
      <w:r w:rsidR="007339E4">
        <w:rPr>
          <w:lang w:val="en-US"/>
        </w:rPr>
        <w:t>.</w:t>
      </w:r>
    </w:p>
    <w:p w14:paraId="4015CDC5" w14:textId="0A30F7E2" w:rsidR="00E917C3" w:rsidRDefault="007339E4" w:rsidP="00BD2E76">
      <w:pPr>
        <w:pStyle w:val="SingleTxtG"/>
        <w:rPr>
          <w:b/>
          <w:lang w:val="en-US"/>
        </w:rPr>
      </w:pPr>
      <w:r>
        <w:rPr>
          <w:lang w:val="en-US"/>
        </w:rPr>
        <w:t>6.4</w:t>
      </w:r>
      <w:r>
        <w:rPr>
          <w:lang w:val="en-US"/>
        </w:rPr>
        <w:tab/>
        <w:t>With regard to the petition for certiorari</w:t>
      </w:r>
      <w:r w:rsidR="00962EB4">
        <w:rPr>
          <w:lang w:val="en-US"/>
        </w:rPr>
        <w:t xml:space="preserve"> remedy</w:t>
      </w:r>
      <w:r>
        <w:rPr>
          <w:lang w:val="en-US"/>
        </w:rPr>
        <w:t>, th</w:t>
      </w:r>
      <w:r w:rsidR="00E917C3">
        <w:rPr>
          <w:lang w:val="en-US"/>
        </w:rPr>
        <w:t>e Committee notes</w:t>
      </w:r>
      <w:r>
        <w:rPr>
          <w:lang w:val="en-US"/>
        </w:rPr>
        <w:t xml:space="preserve"> that, </w:t>
      </w:r>
      <w:r w:rsidR="00E917C3">
        <w:rPr>
          <w:lang w:val="en-US"/>
        </w:rPr>
        <w:t xml:space="preserve">as acknowledged by the State party, </w:t>
      </w:r>
      <w:r w:rsidR="009E4C70">
        <w:rPr>
          <w:lang w:val="en-US"/>
        </w:rPr>
        <w:t>such petition</w:t>
      </w:r>
      <w:r w:rsidR="00E917C3">
        <w:rPr>
          <w:lang w:val="en-US"/>
        </w:rPr>
        <w:t xml:space="preserve"> can only be used to challenge </w:t>
      </w:r>
      <w:r w:rsidR="009E4C70">
        <w:rPr>
          <w:lang w:val="en-US"/>
        </w:rPr>
        <w:t>the</w:t>
      </w:r>
      <w:r w:rsidR="00E917C3">
        <w:rPr>
          <w:lang w:val="en-US"/>
        </w:rPr>
        <w:t xml:space="preserve"> jurisdiction of the trial court, and not to challenge the assessment of facts and evidence, or even to review errors of law. </w:t>
      </w:r>
      <w:r w:rsidR="00962EB4">
        <w:rPr>
          <w:lang w:val="en-US"/>
        </w:rPr>
        <w:t xml:space="preserve">The State party has also acknowledged that </w:t>
      </w:r>
      <w:r w:rsidR="00D82C56">
        <w:rPr>
          <w:lang w:val="en-US"/>
        </w:rPr>
        <w:t xml:space="preserve">the acquittal decision rendered by the Regional Trial Court of </w:t>
      </w:r>
      <w:proofErr w:type="spellStart"/>
      <w:r w:rsidR="00D82C56">
        <w:rPr>
          <w:lang w:val="en-US"/>
        </w:rPr>
        <w:t>Tagum</w:t>
      </w:r>
      <w:proofErr w:type="spellEnd"/>
      <w:r w:rsidR="00D82C56">
        <w:rPr>
          <w:lang w:val="en-US"/>
        </w:rPr>
        <w:t xml:space="preserve"> was final, with no possibility </w:t>
      </w:r>
      <w:r w:rsidR="00962EB4">
        <w:rPr>
          <w:lang w:val="en-US"/>
        </w:rPr>
        <w:t>of</w:t>
      </w:r>
      <w:r w:rsidR="00D82C56">
        <w:rPr>
          <w:lang w:val="en-US"/>
        </w:rPr>
        <w:t xml:space="preserve"> appeal. Against this background, the Committee considers that a remedy limited to challenging the jurisdiction of the trial court would have </w:t>
      </w:r>
      <w:r w:rsidR="00894103">
        <w:rPr>
          <w:lang w:val="en-US"/>
        </w:rPr>
        <w:t xml:space="preserve">practically </w:t>
      </w:r>
      <w:r w:rsidR="00D82C56">
        <w:rPr>
          <w:lang w:val="en-US"/>
        </w:rPr>
        <w:t xml:space="preserve">no chance of success in the present case and would not address the substance of the violations </w:t>
      </w:r>
      <w:r w:rsidR="00962EB4">
        <w:rPr>
          <w:lang w:val="en-US"/>
        </w:rPr>
        <w:t>alleged</w:t>
      </w:r>
      <w:r w:rsidR="00D82C56">
        <w:rPr>
          <w:lang w:val="en-US"/>
        </w:rPr>
        <w:t xml:space="preserve"> before the Committee. The Committee therefore considers that </w:t>
      </w:r>
      <w:r w:rsidR="00005071">
        <w:rPr>
          <w:lang w:val="en-US"/>
        </w:rPr>
        <w:t>a petition for certiorari</w:t>
      </w:r>
      <w:r w:rsidR="00D82C56">
        <w:rPr>
          <w:lang w:val="en-US"/>
        </w:rPr>
        <w:t xml:space="preserve"> was ineffective for the purpose of the present communication.</w:t>
      </w:r>
    </w:p>
    <w:p w14:paraId="1F83D08A" w14:textId="2017C087" w:rsidR="00927527" w:rsidRDefault="007339E4" w:rsidP="00BD2E76">
      <w:pPr>
        <w:pStyle w:val="SingleTxtG"/>
        <w:rPr>
          <w:lang w:val="en-US"/>
        </w:rPr>
      </w:pPr>
      <w:r>
        <w:rPr>
          <w:lang w:val="en-US"/>
        </w:rPr>
        <w:t>6.5</w:t>
      </w:r>
      <w:r w:rsidR="00E917C3">
        <w:rPr>
          <w:lang w:val="en-US"/>
        </w:rPr>
        <w:tab/>
      </w:r>
      <w:r>
        <w:rPr>
          <w:lang w:val="en-US"/>
        </w:rPr>
        <w:t>As to civil remedies aimed at seeking compensation, t</w:t>
      </w:r>
      <w:r w:rsidR="004B2CAA" w:rsidRPr="004B2CAA">
        <w:rPr>
          <w:lang w:val="en-US"/>
        </w:rPr>
        <w:t>he Committee recalls that compensation for offences as serious as those alleged in the present communication</w:t>
      </w:r>
      <w:r w:rsidR="00A359C2">
        <w:rPr>
          <w:lang w:val="en-US"/>
        </w:rPr>
        <w:t xml:space="preserve"> –namely, arbitrary deprivation of life</w:t>
      </w:r>
      <w:r w:rsidR="0024587B">
        <w:rPr>
          <w:lang w:val="en-US"/>
        </w:rPr>
        <w:t xml:space="preserve"> –</w:t>
      </w:r>
      <w:r w:rsidR="004B2CAA" w:rsidRPr="004B2CAA">
        <w:rPr>
          <w:lang w:val="en-US"/>
        </w:rPr>
        <w:t xml:space="preserve"> does not substitute for the obligation of State authorities to investigate and bring charg</w:t>
      </w:r>
      <w:r w:rsidR="00962EB4">
        <w:rPr>
          <w:lang w:val="en-US"/>
        </w:rPr>
        <w:t>es against alleged perpetrators.</w:t>
      </w:r>
      <w:r w:rsidR="004B2CAA" w:rsidRPr="004B2CAA">
        <w:rPr>
          <w:vertAlign w:val="superscript"/>
          <w:lang w:val="en-US"/>
        </w:rPr>
        <w:footnoteReference w:id="10"/>
      </w:r>
      <w:r>
        <w:rPr>
          <w:lang w:val="en-US"/>
        </w:rPr>
        <w:t xml:space="preserve"> </w:t>
      </w:r>
      <w:r w:rsidR="00005071">
        <w:rPr>
          <w:lang w:val="en-US"/>
        </w:rPr>
        <w:t>Consequently, the</w:t>
      </w:r>
      <w:r w:rsidR="00435868">
        <w:rPr>
          <w:lang w:val="en-US"/>
        </w:rPr>
        <w:t xml:space="preserve"> </w:t>
      </w:r>
      <w:r w:rsidR="00075BCA">
        <w:rPr>
          <w:lang w:val="en-US"/>
        </w:rPr>
        <w:t>c</w:t>
      </w:r>
      <w:r w:rsidR="00435868">
        <w:rPr>
          <w:lang w:val="en-US"/>
        </w:rPr>
        <w:t>ivil claim</w:t>
      </w:r>
      <w:r w:rsidR="00962EB4">
        <w:rPr>
          <w:lang w:val="en-US"/>
        </w:rPr>
        <w:t xml:space="preserve"> seeking compensation </w:t>
      </w:r>
      <w:r w:rsidR="00075BCA">
        <w:rPr>
          <w:lang w:val="en-US"/>
        </w:rPr>
        <w:t>can ne</w:t>
      </w:r>
      <w:r w:rsidR="00234D1A">
        <w:rPr>
          <w:lang w:val="en-US"/>
        </w:rPr>
        <w:t>ither</w:t>
      </w:r>
      <w:r w:rsidR="00075BCA">
        <w:rPr>
          <w:lang w:val="en-US"/>
        </w:rPr>
        <w:t xml:space="preserve"> be considered </w:t>
      </w:r>
      <w:r w:rsidR="00435868">
        <w:rPr>
          <w:lang w:val="en-US"/>
        </w:rPr>
        <w:t xml:space="preserve">by itself </w:t>
      </w:r>
      <w:r w:rsidR="00075BCA">
        <w:rPr>
          <w:lang w:val="en-US"/>
        </w:rPr>
        <w:t xml:space="preserve">as an effective remedy </w:t>
      </w:r>
      <w:r w:rsidR="00234D1A">
        <w:rPr>
          <w:lang w:val="en-US"/>
        </w:rPr>
        <w:t xml:space="preserve">to address </w:t>
      </w:r>
      <w:r w:rsidR="004D684B">
        <w:rPr>
          <w:lang w:val="en-US"/>
        </w:rPr>
        <w:t xml:space="preserve">serious human rights </w:t>
      </w:r>
      <w:r w:rsidR="00962EB4">
        <w:rPr>
          <w:lang w:val="en-US"/>
        </w:rPr>
        <w:t>violations</w:t>
      </w:r>
      <w:r w:rsidR="0054063B">
        <w:rPr>
          <w:rStyle w:val="FootnoteReference"/>
          <w:lang w:val="en-US"/>
        </w:rPr>
        <w:footnoteReference w:id="11"/>
      </w:r>
      <w:r w:rsidR="003742DB">
        <w:rPr>
          <w:lang w:val="en-US"/>
        </w:rPr>
        <w:t xml:space="preserve"> </w:t>
      </w:r>
      <w:r w:rsidR="00234D1A">
        <w:rPr>
          <w:lang w:val="en-US"/>
        </w:rPr>
        <w:t xml:space="preserve">nor one </w:t>
      </w:r>
      <w:r w:rsidR="00DF6411">
        <w:rPr>
          <w:lang w:val="en-US"/>
        </w:rPr>
        <w:t xml:space="preserve">that needs to be exhausted </w:t>
      </w:r>
      <w:r w:rsidR="003742DB">
        <w:rPr>
          <w:lang w:val="en-US"/>
        </w:rPr>
        <w:t>for the purposes of brin</w:t>
      </w:r>
      <w:r w:rsidR="002F0E30">
        <w:rPr>
          <w:lang w:val="en-US"/>
        </w:rPr>
        <w:t>g</w:t>
      </w:r>
      <w:r w:rsidR="003742DB">
        <w:rPr>
          <w:lang w:val="en-US"/>
        </w:rPr>
        <w:t>ing a complaint before the Committee</w:t>
      </w:r>
      <w:r w:rsidR="004D684B">
        <w:rPr>
          <w:lang w:val="en-US"/>
        </w:rPr>
        <w:t>.</w:t>
      </w:r>
      <w:r w:rsidR="00962EB4">
        <w:rPr>
          <w:lang w:val="en-US"/>
        </w:rPr>
        <w:t xml:space="preserve"> </w:t>
      </w:r>
      <w:r w:rsidR="00075BCA">
        <w:rPr>
          <w:lang w:val="en-US"/>
        </w:rPr>
        <w:t>Therefore</w:t>
      </w:r>
      <w:r w:rsidR="00075BCA">
        <w:t>, the</w:t>
      </w:r>
      <w:r w:rsidR="007E4108" w:rsidRPr="00307A03">
        <w:rPr>
          <w:lang w:val="en-US"/>
        </w:rPr>
        <w:t xml:space="preserve"> Committee considers that the requirements of article 5, paragraph 2 (b) of the Optional Protocol have been met.</w:t>
      </w:r>
    </w:p>
    <w:p w14:paraId="48D31B0E" w14:textId="77777777" w:rsidR="00C1733B" w:rsidRPr="00606B7C" w:rsidRDefault="00C1733B" w:rsidP="00C1733B">
      <w:pPr>
        <w:pStyle w:val="SingleTxtG"/>
      </w:pPr>
      <w:r>
        <w:t>6.6</w:t>
      </w:r>
      <w:r>
        <w:tab/>
      </w:r>
      <w:r w:rsidRPr="00606B7C">
        <w:t xml:space="preserve">The Committee </w:t>
      </w:r>
      <w:r>
        <w:t>takes note of</w:t>
      </w:r>
      <w:r w:rsidRPr="00606B7C">
        <w:t xml:space="preserve"> the State party’s </w:t>
      </w:r>
      <w:r>
        <w:t>assertion that the author expects to have a criminal case reopened with the purpose of reversing an acquittal decision, which would be incompatible with article 14 (7) of the Covenant. The Committee observes, however, that the author has based his complaint on the alleged violation of his relatives’ right to life and on the lack of an effective remedy with due process guarantees to address that serious violation. The Committee considers that determining whether the author’s rights to an effective remedy may conflict with the provisions of article 14 (7) is a question that is intimately linked to the merits of the case and should be examined as part of the consideration on the merits. The Committee therefore considers that the requirements of article 2 of the Optional Protocol have been met.</w:t>
      </w:r>
    </w:p>
    <w:p w14:paraId="33EFA669" w14:textId="7AA8F746" w:rsidR="00894103" w:rsidRPr="00B539BE" w:rsidRDefault="009B04E6" w:rsidP="00894103">
      <w:pPr>
        <w:pStyle w:val="SingleTxtG"/>
      </w:pPr>
      <w:r>
        <w:t>6</w:t>
      </w:r>
      <w:r w:rsidR="007339E4">
        <w:t>.7</w:t>
      </w:r>
      <w:r w:rsidR="00927527" w:rsidRPr="00CA2790">
        <w:tab/>
      </w:r>
      <w:r w:rsidR="00894103">
        <w:t xml:space="preserve">The Committee takes note of the author’s claims based on article 14 (1) of the Covenant. However, the Committee recalls that article 14 (1) of the Covenant protects the rights of </w:t>
      </w:r>
      <w:r w:rsidR="00363228">
        <w:t xml:space="preserve">persons facing </w:t>
      </w:r>
      <w:r w:rsidR="00894103" w:rsidRPr="0063456C">
        <w:t xml:space="preserve">criminal charges or </w:t>
      </w:r>
      <w:r w:rsidR="00BE4325">
        <w:t>whose</w:t>
      </w:r>
      <w:r w:rsidR="00363228">
        <w:t xml:space="preserve"> rights and obligations </w:t>
      </w:r>
      <w:r w:rsidR="00BE4325">
        <w:t xml:space="preserve">are being determined </w:t>
      </w:r>
      <w:r w:rsidR="00363228">
        <w:t>i</w:t>
      </w:r>
      <w:r w:rsidR="00894103" w:rsidRPr="0063456C">
        <w:t>n a suit at law.</w:t>
      </w:r>
      <w:r w:rsidR="00363228">
        <w:t xml:space="preserve"> The Committee notes that the author was not a party to the national criminal proceedings </w:t>
      </w:r>
      <w:r w:rsidR="00BE4325">
        <w:t xml:space="preserve">against the persons responsible for the death of the author’s brother and sister-in-law. Therefore, the Committee considers that this claim is incompatible with the provisions of the Covenant and declares it inadmissible pursuant to article 3 of the Optional Protocol. </w:t>
      </w:r>
    </w:p>
    <w:p w14:paraId="2DD4D003" w14:textId="5BE8B23D" w:rsidR="00927527" w:rsidRPr="00606B7C" w:rsidRDefault="00363228" w:rsidP="00927527">
      <w:pPr>
        <w:pStyle w:val="SingleTxtG"/>
      </w:pPr>
      <w:r>
        <w:t>6.8</w:t>
      </w:r>
      <w:r>
        <w:tab/>
      </w:r>
      <w:r w:rsidR="00927527" w:rsidRPr="00606B7C">
        <w:t xml:space="preserve">The Committee declares the communication admissible insofar as it appears to raise issues under </w:t>
      </w:r>
      <w:r w:rsidR="00927527" w:rsidRPr="00D82C56">
        <w:t>article</w:t>
      </w:r>
      <w:r w:rsidR="00630636">
        <w:t xml:space="preserve">s </w:t>
      </w:r>
      <w:r w:rsidR="001509B6">
        <w:t>6(1)</w:t>
      </w:r>
      <w:r w:rsidR="002E4B1A">
        <w:rPr>
          <w:lang w:val="en-US"/>
        </w:rPr>
        <w:t>,</w:t>
      </w:r>
      <w:r w:rsidR="001509B6">
        <w:t xml:space="preserve"> read alone and in conjunction with article </w:t>
      </w:r>
      <w:r w:rsidR="008832D1" w:rsidRPr="00D82C56">
        <w:t>2(3</w:t>
      </w:r>
      <w:proofErr w:type="gramStart"/>
      <w:r w:rsidR="008832D1" w:rsidRPr="00D82C56">
        <w:t>)</w:t>
      </w:r>
      <w:r w:rsidR="00927527" w:rsidRPr="00606B7C">
        <w:t>of</w:t>
      </w:r>
      <w:proofErr w:type="gramEnd"/>
      <w:r w:rsidR="00927527" w:rsidRPr="00606B7C">
        <w:t xml:space="preserve"> the Covenant and proceeds to </w:t>
      </w:r>
      <w:r w:rsidR="00912DB0">
        <w:t>its</w:t>
      </w:r>
      <w:r w:rsidR="00927527" w:rsidRPr="00606B7C">
        <w:t xml:space="preserve"> consideration o</w:t>
      </w:r>
      <w:r w:rsidR="00927527">
        <w:t>f</w:t>
      </w:r>
      <w:r w:rsidR="00927527" w:rsidRPr="00606B7C">
        <w:t xml:space="preserve"> the merits.</w:t>
      </w:r>
    </w:p>
    <w:p w14:paraId="583CD057" w14:textId="55E5932C" w:rsidR="006C1F0F" w:rsidRPr="00242D47" w:rsidRDefault="00BD2E76" w:rsidP="00BD2E76">
      <w:pPr>
        <w:pStyle w:val="H4G"/>
        <w:rPr>
          <w:lang w:val="en-US"/>
        </w:rPr>
      </w:pPr>
      <w:r>
        <w:rPr>
          <w:lang w:val="en-US"/>
        </w:rPr>
        <w:tab/>
      </w:r>
      <w:r>
        <w:rPr>
          <w:lang w:val="en-US"/>
        </w:rPr>
        <w:tab/>
      </w:r>
      <w:r w:rsidR="006C1F0F" w:rsidRPr="00242D47">
        <w:rPr>
          <w:lang w:val="en-US"/>
        </w:rPr>
        <w:t>Consideration of the merits</w:t>
      </w:r>
    </w:p>
    <w:p w14:paraId="30117DDC" w14:textId="77777777" w:rsidR="006C1F0F" w:rsidRDefault="009B04E6" w:rsidP="00197C8A">
      <w:pPr>
        <w:pStyle w:val="SingleTxtG"/>
        <w:keepNext/>
        <w:rPr>
          <w:lang w:val="en-US"/>
        </w:rPr>
      </w:pPr>
      <w:r>
        <w:rPr>
          <w:lang w:val="en-US"/>
        </w:rPr>
        <w:t>7</w:t>
      </w:r>
      <w:r w:rsidR="006C1F0F">
        <w:rPr>
          <w:lang w:val="en-US"/>
        </w:rPr>
        <w:t>.1</w:t>
      </w:r>
      <w:r w:rsidR="006C1F0F">
        <w:rPr>
          <w:lang w:val="en-US"/>
        </w:rPr>
        <w:tab/>
        <w:t xml:space="preserve">The </w:t>
      </w:r>
      <w:r w:rsidR="00197C8A">
        <w:rPr>
          <w:lang w:val="en-US"/>
        </w:rPr>
        <w:t>Committee</w:t>
      </w:r>
      <w:r w:rsidR="006C1F0F">
        <w:rPr>
          <w:lang w:val="en-US"/>
        </w:rPr>
        <w:t xml:space="preserve"> has considered the present communication in light of all the information made </w:t>
      </w:r>
      <w:r w:rsidR="00197C8A">
        <w:rPr>
          <w:lang w:val="en-US"/>
        </w:rPr>
        <w:t>available</w:t>
      </w:r>
      <w:r w:rsidR="006C1F0F">
        <w:rPr>
          <w:lang w:val="en-US"/>
        </w:rPr>
        <w:t xml:space="preserve"> to it by the parties, as required under article 5(1) of the Optional Protocol.</w:t>
      </w:r>
    </w:p>
    <w:p w14:paraId="2A163C1C" w14:textId="1A027475" w:rsidR="00B923DF" w:rsidRDefault="00BB2971" w:rsidP="00E46902">
      <w:pPr>
        <w:pStyle w:val="SingleTxtG"/>
      </w:pPr>
      <w:r>
        <w:rPr>
          <w:lang w:val="en-US"/>
        </w:rPr>
        <w:t>7</w:t>
      </w:r>
      <w:r w:rsidR="006C1F0F">
        <w:rPr>
          <w:lang w:val="en-US"/>
        </w:rPr>
        <w:t>.2</w:t>
      </w:r>
      <w:r w:rsidR="006C1F0F">
        <w:rPr>
          <w:lang w:val="en-US"/>
        </w:rPr>
        <w:tab/>
      </w:r>
      <w:r>
        <w:t>The Committee notes the author’s claim that</w:t>
      </w:r>
      <w:r w:rsidR="00927527" w:rsidRPr="00606B7C">
        <w:t xml:space="preserve"> </w:t>
      </w:r>
      <w:r w:rsidR="008F171D">
        <w:t xml:space="preserve">Bakar </w:t>
      </w:r>
      <w:proofErr w:type="spellStart"/>
      <w:r w:rsidR="008F171D">
        <w:t>Japalali</w:t>
      </w:r>
      <w:proofErr w:type="spellEnd"/>
      <w:r w:rsidR="008F171D">
        <w:t xml:space="preserve"> and Carmen </w:t>
      </w:r>
      <w:proofErr w:type="spellStart"/>
      <w:r w:rsidR="008F171D">
        <w:t>Baloyo-Japalali</w:t>
      </w:r>
      <w:proofErr w:type="spellEnd"/>
      <w:r w:rsidR="008F171D">
        <w:t xml:space="preserve"> were </w:t>
      </w:r>
      <w:r w:rsidR="00B923DF">
        <w:t xml:space="preserve">arbitrarily deprived of their lives by members of the Philippine </w:t>
      </w:r>
      <w:r w:rsidR="00B923DF" w:rsidRPr="000B2BA5">
        <w:t>army</w:t>
      </w:r>
      <w:r w:rsidR="00B23414">
        <w:t xml:space="preserve"> because</w:t>
      </w:r>
      <w:r w:rsidR="00B923DF">
        <w:t xml:space="preserve">, even if these members were </w:t>
      </w:r>
      <w:r w:rsidR="0004614E">
        <w:t>obeying</w:t>
      </w:r>
      <w:r w:rsidR="00B923DF">
        <w:t xml:space="preserve"> an order from a superior, such </w:t>
      </w:r>
      <w:r w:rsidR="00CC1B99">
        <w:t xml:space="preserve">an </w:t>
      </w:r>
      <w:r w:rsidR="00B923DF">
        <w:t>order was unlawful</w:t>
      </w:r>
      <w:r w:rsidR="00912DB0">
        <w:t xml:space="preserve"> and resulted in deaths that amounted to arbitrary deprivation of life</w:t>
      </w:r>
      <w:r w:rsidR="00B923DF">
        <w:t xml:space="preserve">. The Committee notes </w:t>
      </w:r>
      <w:r w:rsidR="00B23414">
        <w:t>that the State party has acknowledged that the a</w:t>
      </w:r>
      <w:r w:rsidR="001950E7">
        <w:t xml:space="preserve">rmy </w:t>
      </w:r>
      <w:r w:rsidR="00B54B57">
        <w:t>officers</w:t>
      </w:r>
      <w:r w:rsidR="001950E7">
        <w:t xml:space="preserve"> in question repeatedly shot at the </w:t>
      </w:r>
      <w:proofErr w:type="spellStart"/>
      <w:r w:rsidR="001950E7">
        <w:t>Japalalis</w:t>
      </w:r>
      <w:proofErr w:type="spellEnd"/>
      <w:r w:rsidR="001950E7">
        <w:t xml:space="preserve">’ </w:t>
      </w:r>
      <w:r w:rsidR="001C5F31">
        <w:t xml:space="preserve">shanty </w:t>
      </w:r>
      <w:r w:rsidR="001950E7">
        <w:t xml:space="preserve">house causing their death. </w:t>
      </w:r>
      <w:r w:rsidR="00912DB0">
        <w:t xml:space="preserve">It also notes </w:t>
      </w:r>
      <w:r w:rsidR="001950E7">
        <w:t>the State party</w:t>
      </w:r>
      <w:r w:rsidR="00912DB0">
        <w:t>’s argument</w:t>
      </w:r>
      <w:r w:rsidR="001950E7">
        <w:t xml:space="preserve"> that this was done in the context of a strike operation </w:t>
      </w:r>
      <w:r w:rsidR="003261C9">
        <w:t xml:space="preserve">following a lawful order </w:t>
      </w:r>
      <w:r w:rsidR="001950E7">
        <w:t xml:space="preserve">issued by </w:t>
      </w:r>
      <w:r w:rsidR="001C5F31">
        <w:t>their</w:t>
      </w:r>
      <w:r w:rsidR="001950E7">
        <w:t xml:space="preserve"> military superior</w:t>
      </w:r>
      <w:r w:rsidR="00B23414">
        <w:t xml:space="preserve"> </w:t>
      </w:r>
      <w:r w:rsidR="001950E7">
        <w:t xml:space="preserve">with the purpose of verifying the alleged presence </w:t>
      </w:r>
      <w:r w:rsidR="000F08B9">
        <w:t>of a group of</w:t>
      </w:r>
      <w:r w:rsidR="001950E7">
        <w:t xml:space="preserve"> armed secessionist rebels</w:t>
      </w:r>
      <w:r w:rsidR="003261C9">
        <w:t xml:space="preserve"> and eventually engaging them in combat</w:t>
      </w:r>
      <w:r w:rsidR="001950E7">
        <w:t xml:space="preserve">, and that </w:t>
      </w:r>
      <w:r w:rsidR="00F34546">
        <w:t xml:space="preserve">such order was lawfully implemented as </w:t>
      </w:r>
      <w:r w:rsidR="001950E7">
        <w:t xml:space="preserve">the army squad </w:t>
      </w:r>
      <w:r w:rsidR="00131ED3">
        <w:t xml:space="preserve">in question </w:t>
      </w:r>
      <w:r w:rsidR="001950E7">
        <w:t>was shot at before they started fire.</w:t>
      </w:r>
      <w:r w:rsidR="00131ED3">
        <w:t xml:space="preserve"> </w:t>
      </w:r>
    </w:p>
    <w:p w14:paraId="321B1903" w14:textId="72D9704C" w:rsidR="004C44E2" w:rsidRDefault="001950E7" w:rsidP="00E50206">
      <w:pPr>
        <w:ind w:left="1134" w:right="1134"/>
        <w:jc w:val="both"/>
      </w:pPr>
      <w:r>
        <w:t>7.3</w:t>
      </w:r>
      <w:r w:rsidR="00131ED3">
        <w:tab/>
        <w:t>The Committee recalls that the right to life is the supreme right from which no derogation is permitted even in situations of armed conflict and other public emergencies which threatens the life of the nation.</w:t>
      </w:r>
      <w:r w:rsidR="00131ED3">
        <w:rPr>
          <w:rStyle w:val="FootnoteReference"/>
        </w:rPr>
        <w:footnoteReference w:id="12"/>
      </w:r>
      <w:r w:rsidR="00131ED3">
        <w:t xml:space="preserve"> </w:t>
      </w:r>
      <w:r w:rsidR="00800F5A">
        <w:t xml:space="preserve">It further recalls that article 6 (1) of the Covenant prohibits arbitrary deprivation of life, </w:t>
      </w:r>
      <w:r w:rsidR="00C53722">
        <w:t xml:space="preserve">and that, as a rule, deprivation of life is arbitrary if it is inconsistent with international law or domestic law. </w:t>
      </w:r>
      <w:r w:rsidR="00A958AB">
        <w:t>A deprivation of life may, nevertheless, be authorized by domestic law and still be arbitrary. The notion of “arbitrariness” is not to be fully equated with “against the law”, but must be interpreted more broadly to include elements of inappropriateness, in</w:t>
      </w:r>
      <w:r w:rsidR="003900AA">
        <w:t>justice, lack of predictability</w:t>
      </w:r>
      <w:r w:rsidR="00A958AB">
        <w:t xml:space="preserve"> and due process of law as well as elements of reasonableness, necessity, and proportionality […]. The use of potentially lethal force for law enforcement purposes is an extreme measure, which should be resorted to only when strictly necessary in order to protect life or prevent serious</w:t>
      </w:r>
      <w:r w:rsidR="004C44E2">
        <w:t xml:space="preserve"> injury from an imminent threat</w:t>
      </w:r>
      <w:r w:rsidR="00A958AB">
        <w:t xml:space="preserve"> […</w:t>
      </w:r>
      <w:r w:rsidR="004C44E2">
        <w:t>].</w:t>
      </w:r>
      <w:r w:rsidR="00A958AB">
        <w:rPr>
          <w:rStyle w:val="FootnoteReference"/>
        </w:rPr>
        <w:footnoteReference w:id="13"/>
      </w:r>
      <w:r w:rsidR="00861188">
        <w:t>7.4</w:t>
      </w:r>
      <w:r w:rsidR="00861188">
        <w:tab/>
      </w:r>
      <w:r w:rsidR="00B51A24">
        <w:t>In the present case, the</w:t>
      </w:r>
      <w:r w:rsidR="003261C9" w:rsidRPr="007573C3">
        <w:t xml:space="preserve"> Committee notes </w:t>
      </w:r>
      <w:r w:rsidR="000F08B9">
        <w:t>the uncontested fact that</w:t>
      </w:r>
      <w:r w:rsidR="003261C9" w:rsidRPr="007573C3">
        <w:t xml:space="preserve"> </w:t>
      </w:r>
      <w:r w:rsidR="003261C9">
        <w:t xml:space="preserve">Mr. </w:t>
      </w:r>
      <w:proofErr w:type="spellStart"/>
      <w:r w:rsidR="003A46D3">
        <w:t>Japalali</w:t>
      </w:r>
      <w:proofErr w:type="spellEnd"/>
      <w:r w:rsidR="003A46D3">
        <w:t xml:space="preserve"> was killed at home </w:t>
      </w:r>
      <w:r w:rsidR="003261C9">
        <w:t xml:space="preserve">and Mrs. </w:t>
      </w:r>
      <w:proofErr w:type="spellStart"/>
      <w:r w:rsidR="003261C9">
        <w:t>Japalali</w:t>
      </w:r>
      <w:proofErr w:type="spellEnd"/>
      <w:r w:rsidR="003261C9">
        <w:t xml:space="preserve"> </w:t>
      </w:r>
      <w:r w:rsidR="003A46D3">
        <w:t>die</w:t>
      </w:r>
      <w:r w:rsidR="00F84A92">
        <w:t>d</w:t>
      </w:r>
      <w:r w:rsidR="003A46D3">
        <w:t xml:space="preserve"> shortly after she was brought to the hospital</w:t>
      </w:r>
      <w:r w:rsidR="00FF0817">
        <w:t xml:space="preserve"> </w:t>
      </w:r>
      <w:r w:rsidR="00861188">
        <w:t>a</w:t>
      </w:r>
      <w:r w:rsidR="000F08B9">
        <w:t xml:space="preserve">s a result of repeated rifle shooting by a squad of eight </w:t>
      </w:r>
      <w:r w:rsidR="003A46D3">
        <w:t>soldiers</w:t>
      </w:r>
      <w:r w:rsidR="003261C9">
        <w:t>.</w:t>
      </w:r>
      <w:r w:rsidR="003261C9" w:rsidRPr="007573C3">
        <w:t xml:space="preserve"> </w:t>
      </w:r>
      <w:r w:rsidR="00861188">
        <w:t>While the State party has argued that the operation responded to intelligence information indicating the alleged presence of 30 to 40 armed men in the surrounding area</w:t>
      </w:r>
      <w:r w:rsidR="00CC0CCC">
        <w:t xml:space="preserve"> and that the squad</w:t>
      </w:r>
      <w:r w:rsidR="00765DEE">
        <w:t xml:space="preserve"> was shot at before opening fire</w:t>
      </w:r>
      <w:r w:rsidR="00861188">
        <w:t xml:space="preserve">, </w:t>
      </w:r>
      <w:r w:rsidR="00765DEE">
        <w:t>the Committee observes that the State party</w:t>
      </w:r>
      <w:r w:rsidR="00861188">
        <w:t xml:space="preserve"> has not </w:t>
      </w:r>
      <w:r w:rsidR="00B33C22">
        <w:t xml:space="preserve">provided any </w:t>
      </w:r>
      <w:r w:rsidR="003A46D3">
        <w:t>information</w:t>
      </w:r>
      <w:r w:rsidR="00B33C22">
        <w:t xml:space="preserve"> about the actu</w:t>
      </w:r>
      <w:r w:rsidR="0019183B">
        <w:t>al presence of any armed person</w:t>
      </w:r>
      <w:r w:rsidR="00B33C22">
        <w:t xml:space="preserve"> in </w:t>
      </w:r>
      <w:r w:rsidR="000F08B9">
        <w:t xml:space="preserve">or around </w:t>
      </w:r>
      <w:r w:rsidR="00B33C22">
        <w:t xml:space="preserve">the </w:t>
      </w:r>
      <w:proofErr w:type="spellStart"/>
      <w:r w:rsidR="00B33C22">
        <w:t>Japalalis</w:t>
      </w:r>
      <w:proofErr w:type="spellEnd"/>
      <w:r w:rsidR="00B33C22">
        <w:t>’ house other than by</w:t>
      </w:r>
      <w:r w:rsidR="000F08B9">
        <w:t xml:space="preserve"> merely</w:t>
      </w:r>
      <w:r w:rsidR="00B33C22">
        <w:t xml:space="preserve"> stating that ammunition different than the one used by the military was found on the floor. Yet,</w:t>
      </w:r>
      <w:r w:rsidR="00CF465F">
        <w:t xml:space="preserve"> f</w:t>
      </w:r>
      <w:r w:rsidR="0087676E">
        <w:t>rom</w:t>
      </w:r>
      <w:r w:rsidR="00CF465F">
        <w:t xml:space="preserve"> the information available</w:t>
      </w:r>
      <w:r w:rsidR="0080079A">
        <w:t xml:space="preserve"> in the file</w:t>
      </w:r>
      <w:r w:rsidR="00CF465F">
        <w:t>,</w:t>
      </w:r>
      <w:r w:rsidR="00B33C22">
        <w:t xml:space="preserve"> no other person was found in the house </w:t>
      </w:r>
      <w:r w:rsidR="004C0C4F">
        <w:t>at the time of</w:t>
      </w:r>
      <w:r w:rsidR="00B33C22">
        <w:t xml:space="preserve"> the shooting</w:t>
      </w:r>
      <w:r w:rsidR="004C0C4F">
        <w:t xml:space="preserve"> or identified in the context of the criminal proceedings</w:t>
      </w:r>
      <w:r w:rsidR="0080079A">
        <w:t>, and there is no</w:t>
      </w:r>
      <w:r w:rsidR="003A46D3">
        <w:t xml:space="preserve"> other information</w:t>
      </w:r>
      <w:r w:rsidR="000F08B9">
        <w:t xml:space="preserve"> </w:t>
      </w:r>
      <w:r w:rsidR="003A46D3">
        <w:t>provided</w:t>
      </w:r>
      <w:r w:rsidR="000F08B9">
        <w:t xml:space="preserve"> that would </w:t>
      </w:r>
      <w:r w:rsidR="001976E8">
        <w:t xml:space="preserve">show </w:t>
      </w:r>
      <w:r w:rsidR="000F08B9">
        <w:t xml:space="preserve">that the victims </w:t>
      </w:r>
      <w:r w:rsidR="0019183B">
        <w:t xml:space="preserve">themselves </w:t>
      </w:r>
      <w:r w:rsidR="000F08B9">
        <w:t xml:space="preserve">were </w:t>
      </w:r>
      <w:r w:rsidR="007A060A">
        <w:t>carrying any weapons at the time of the events</w:t>
      </w:r>
      <w:r w:rsidR="000F08B9">
        <w:t xml:space="preserve">. </w:t>
      </w:r>
      <w:r w:rsidR="00955DCD">
        <w:t xml:space="preserve">The Committee notes </w:t>
      </w:r>
      <w:r w:rsidR="00192D54">
        <w:t>that the State party has not provided</w:t>
      </w:r>
      <w:r w:rsidR="00FA4261">
        <w:t xml:space="preserve"> </w:t>
      </w:r>
      <w:r w:rsidR="005E5449">
        <w:t xml:space="preserve">specific </w:t>
      </w:r>
      <w:r w:rsidR="00FA4261">
        <w:t xml:space="preserve">information about any </w:t>
      </w:r>
      <w:r w:rsidR="003A46D3">
        <w:t>verification</w:t>
      </w:r>
      <w:r w:rsidR="00FA4261">
        <w:t xml:space="preserve"> measures </w:t>
      </w:r>
      <w:r w:rsidR="00955DCD">
        <w:t xml:space="preserve">taken by the armed forces </w:t>
      </w:r>
      <w:r w:rsidR="001062E4">
        <w:t xml:space="preserve">concerned </w:t>
      </w:r>
      <w:r w:rsidR="00955DCD">
        <w:t xml:space="preserve">before or </w:t>
      </w:r>
      <w:r w:rsidR="001050E6">
        <w:t>during</w:t>
      </w:r>
      <w:r w:rsidR="00955DCD">
        <w:t xml:space="preserve"> the execution of the strike operation </w:t>
      </w:r>
      <w:r w:rsidR="00327FFE">
        <w:t xml:space="preserve">in an area inhabited by civilians </w:t>
      </w:r>
      <w:r w:rsidR="003A46D3">
        <w:t xml:space="preserve">to ensure that the </w:t>
      </w:r>
      <w:r w:rsidR="00955DCD">
        <w:t>lethal force</w:t>
      </w:r>
      <w:r w:rsidR="003A46D3">
        <w:t xml:space="preserve"> used was no more than</w:t>
      </w:r>
      <w:r w:rsidR="00955DCD">
        <w:t xml:space="preserve"> necessary, in particular in view of the uncontested account of </w:t>
      </w:r>
      <w:r w:rsidR="001050E6">
        <w:t xml:space="preserve">the </w:t>
      </w:r>
      <w:r w:rsidR="001062E4">
        <w:t xml:space="preserve">repeated </w:t>
      </w:r>
      <w:r w:rsidR="00955DCD">
        <w:t>firing at the house</w:t>
      </w:r>
      <w:r w:rsidR="00155D05">
        <w:t xml:space="preserve"> </w:t>
      </w:r>
      <w:r w:rsidR="00CB3F47">
        <w:t xml:space="preserve">for ten minutes </w:t>
      </w:r>
      <w:r w:rsidR="00155D05">
        <w:t xml:space="preserve">and the shooting of Mrs. </w:t>
      </w:r>
      <w:proofErr w:type="spellStart"/>
      <w:r w:rsidR="00155D05">
        <w:t>Japalali</w:t>
      </w:r>
      <w:proofErr w:type="spellEnd"/>
      <w:r w:rsidR="00155D05">
        <w:t xml:space="preserve"> in the back while she was hanging in the stair</w:t>
      </w:r>
      <w:r w:rsidR="00AD18B8">
        <w:t>s</w:t>
      </w:r>
      <w:r w:rsidR="00155D05">
        <w:t xml:space="preserve"> of the house, already wounded, calling for help</w:t>
      </w:r>
      <w:r w:rsidR="00955DCD">
        <w:t xml:space="preserve">. </w:t>
      </w:r>
      <w:r w:rsidR="00B33C22">
        <w:t xml:space="preserve">Against this background, the Committee considers that the State party has failed to justify </w:t>
      </w:r>
      <w:r w:rsidR="00861188">
        <w:t xml:space="preserve">how the indiscriminate </w:t>
      </w:r>
      <w:r w:rsidR="00DF4476">
        <w:t>use of lethal force</w:t>
      </w:r>
      <w:r w:rsidR="00861188">
        <w:t xml:space="preserve"> against the</w:t>
      </w:r>
      <w:r w:rsidR="00765DEE">
        <w:t xml:space="preserve"> victims</w:t>
      </w:r>
      <w:r w:rsidR="0019183B">
        <w:t>’ house</w:t>
      </w:r>
      <w:r w:rsidR="00861188">
        <w:t xml:space="preserve"> </w:t>
      </w:r>
      <w:r w:rsidR="004C0C4F">
        <w:t xml:space="preserve">responded to an actual threat to a squad of eight heavily armed </w:t>
      </w:r>
      <w:r w:rsidR="00CB3F47">
        <w:t>soldiers</w:t>
      </w:r>
      <w:r w:rsidR="004C0C4F">
        <w:t xml:space="preserve">, much less that it </w:t>
      </w:r>
      <w:r w:rsidR="001332C7">
        <w:t>was</w:t>
      </w:r>
      <w:r w:rsidR="00765DEE">
        <w:t xml:space="preserve"> strictly necessary to protect life or prevent serious injury.</w:t>
      </w:r>
      <w:r w:rsidR="00861188">
        <w:t xml:space="preserve"> </w:t>
      </w:r>
      <w:r w:rsidR="00765DEE">
        <w:t xml:space="preserve">Nor has the State party otherwise </w:t>
      </w:r>
      <w:r w:rsidR="00CB3F47">
        <w:t xml:space="preserve">presented </w:t>
      </w:r>
      <w:r w:rsidR="00967063">
        <w:t xml:space="preserve">any </w:t>
      </w:r>
      <w:r w:rsidR="00CB3F47">
        <w:t xml:space="preserve">information </w:t>
      </w:r>
      <w:r w:rsidR="003261C9" w:rsidRPr="007573C3">
        <w:t xml:space="preserve">indicating that it has fulfilled its obligation to protect </w:t>
      </w:r>
      <w:r w:rsidR="00861188">
        <w:t>the victims’ lives during the</w:t>
      </w:r>
      <w:r w:rsidR="003261C9" w:rsidRPr="007573C3">
        <w:t xml:space="preserve"> operation</w:t>
      </w:r>
      <w:proofErr w:type="gramStart"/>
      <w:r w:rsidR="003261C9" w:rsidRPr="007573C3">
        <w:t>.</w:t>
      </w:r>
      <w:r w:rsidR="00715BC7">
        <w:t>.</w:t>
      </w:r>
      <w:proofErr w:type="gramEnd"/>
      <w:r w:rsidR="00765DEE">
        <w:t xml:space="preserve"> </w:t>
      </w:r>
      <w:r w:rsidR="00B9513A">
        <w:t xml:space="preserve">In light of all </w:t>
      </w:r>
      <w:r w:rsidR="003B72EB">
        <w:t xml:space="preserve">of </w:t>
      </w:r>
      <w:r w:rsidR="00B9513A">
        <w:t>the above,</w:t>
      </w:r>
      <w:r w:rsidR="003261C9" w:rsidRPr="007573C3">
        <w:t xml:space="preserve"> the Committee finds that the State party ha</w:t>
      </w:r>
      <w:r w:rsidR="00B9513A">
        <w:t xml:space="preserve">s directly and arbitrarily deprived </w:t>
      </w:r>
      <w:r w:rsidR="00717CE9">
        <w:t xml:space="preserve">Bakar </w:t>
      </w:r>
      <w:proofErr w:type="spellStart"/>
      <w:r w:rsidR="00717CE9">
        <w:t>Japalali</w:t>
      </w:r>
      <w:proofErr w:type="spellEnd"/>
      <w:r w:rsidR="00717CE9">
        <w:t xml:space="preserve"> and Carmen </w:t>
      </w:r>
      <w:proofErr w:type="spellStart"/>
      <w:r w:rsidR="00717CE9">
        <w:t>Baloyo-Japalali</w:t>
      </w:r>
      <w:proofErr w:type="spellEnd"/>
      <w:r w:rsidR="003261C9" w:rsidRPr="007573C3">
        <w:t xml:space="preserve"> </w:t>
      </w:r>
      <w:r w:rsidR="00B9513A">
        <w:t xml:space="preserve">of their lives in violation of </w:t>
      </w:r>
      <w:r w:rsidR="003261C9" w:rsidRPr="007573C3">
        <w:t>article 6, paragraph 1, of the Covenant.</w:t>
      </w:r>
      <w:r w:rsidR="003261C9" w:rsidRPr="007573C3">
        <w:rPr>
          <w:rStyle w:val="FootnoteReference"/>
        </w:rPr>
        <w:footnoteReference w:id="14"/>
      </w:r>
      <w:r w:rsidR="006B5487">
        <w:t xml:space="preserve"> </w:t>
      </w:r>
    </w:p>
    <w:p w14:paraId="71737E45" w14:textId="77777777" w:rsidR="00FC36A6" w:rsidRDefault="00FC36A6" w:rsidP="00FD5042"/>
    <w:p w14:paraId="549B5D0F" w14:textId="2FB07600" w:rsidR="002E07C5" w:rsidRDefault="003401CC" w:rsidP="008D0F50">
      <w:pPr>
        <w:pStyle w:val="SingleTxtG"/>
      </w:pPr>
      <w:r>
        <w:t>7.5</w:t>
      </w:r>
      <w:r>
        <w:tab/>
      </w:r>
      <w:r w:rsidR="008F171D">
        <w:t>The Committee notes the author’s claim that he had no effective remedy to obtain truth, justice and reparation for his relatives’</w:t>
      </w:r>
      <w:r w:rsidR="001332C7">
        <w:t xml:space="preserve"> death</w:t>
      </w:r>
      <w:r w:rsidR="0019183B">
        <w:t>. In particular, he has argued that</w:t>
      </w:r>
      <w:r w:rsidR="00954E90">
        <w:t xml:space="preserve"> the </w:t>
      </w:r>
      <w:r w:rsidR="00FD1630">
        <w:t>trial court based its decision on the fact that the perpetrators obeyed lawful orders from a superior</w:t>
      </w:r>
      <w:r w:rsidR="00CB3F47">
        <w:t xml:space="preserve"> and executed these orders law</w:t>
      </w:r>
      <w:r w:rsidR="00327FFE">
        <w:t>f</w:t>
      </w:r>
      <w:r w:rsidR="00CB3F47">
        <w:t>ully</w:t>
      </w:r>
      <w:r w:rsidR="0019183B">
        <w:t xml:space="preserve">, and that he </w:t>
      </w:r>
      <w:r w:rsidR="00EC6F24">
        <w:t>had no opportunity to appeal the resulting</w:t>
      </w:r>
      <w:r w:rsidR="0019183B">
        <w:t xml:space="preserve"> acquittal decision</w:t>
      </w:r>
      <w:r w:rsidR="008F171D">
        <w:t>.</w:t>
      </w:r>
      <w:r w:rsidR="001332C7">
        <w:t xml:space="preserve"> </w:t>
      </w:r>
      <w:r w:rsidR="00FD1630">
        <w:t>The State party has argued that the author is contesting the evaluation of facts and evidence and the application of domestic law, whi</w:t>
      </w:r>
      <w:r w:rsidR="008D0F50">
        <w:t>ch belongs to nationa</w:t>
      </w:r>
      <w:r w:rsidR="00EC6F24">
        <w:t xml:space="preserve">l courts, and that </w:t>
      </w:r>
      <w:r w:rsidR="00A92D99">
        <w:t>reopenin</w:t>
      </w:r>
      <w:r w:rsidR="00C12803">
        <w:t>g the proceedings that resulted</w:t>
      </w:r>
      <w:r w:rsidR="00A92D99">
        <w:t xml:space="preserve"> in the acquittal decision would be contrary to the prohibition of double jeopardy enshrined in</w:t>
      </w:r>
      <w:r w:rsidR="00E95242" w:rsidRPr="00E95242">
        <w:t xml:space="preserve"> </w:t>
      </w:r>
      <w:r w:rsidR="00E95242">
        <w:t>article 14 (7) of</w:t>
      </w:r>
      <w:r w:rsidR="00A92D99">
        <w:t xml:space="preserve"> </w:t>
      </w:r>
      <w:r w:rsidR="00356AB8">
        <w:t>the Covenant</w:t>
      </w:r>
      <w:r w:rsidR="00E95242">
        <w:t>,</w:t>
      </w:r>
      <w:r w:rsidR="00356AB8">
        <w:t xml:space="preserve"> as well as in the Philippine Constitution.</w:t>
      </w:r>
      <w:r w:rsidR="008D0F50">
        <w:t xml:space="preserve"> </w:t>
      </w:r>
    </w:p>
    <w:p w14:paraId="031D3259" w14:textId="4DD53B64" w:rsidR="00CB3F47" w:rsidRPr="00915DE0" w:rsidRDefault="002E07C5" w:rsidP="00915DE0">
      <w:pPr>
        <w:pStyle w:val="SingleTxtG"/>
      </w:pPr>
      <w:r>
        <w:t>7.6</w:t>
      </w:r>
      <w:r>
        <w:tab/>
      </w:r>
      <w:r w:rsidR="008D0F50">
        <w:t>The Committee recalls that i</w:t>
      </w:r>
      <w:r w:rsidR="008D0F50" w:rsidRPr="008D0F50">
        <w:t xml:space="preserve">t is generally for </w:t>
      </w:r>
      <w:r w:rsidR="00CD5F00">
        <w:t>national courts</w:t>
      </w:r>
      <w:r w:rsidR="008D0F50" w:rsidRPr="008D0F50">
        <w:t xml:space="preserve"> to review facts and evidence, or the application of domestic legislation, in a particular case, unless it can be shown that such evaluation or application was clearly arbitrary or amounted to a manifest error or denial of justice, or that the </w:t>
      </w:r>
      <w:r w:rsidR="00CD5F00">
        <w:t>court</w:t>
      </w:r>
      <w:r w:rsidR="008D0F50" w:rsidRPr="008D0F50">
        <w:t xml:space="preserve"> otherwise violated its obligation of independence and impartiality.</w:t>
      </w:r>
      <w:r w:rsidR="008D0F50">
        <w:rPr>
          <w:rStyle w:val="FootnoteReference"/>
        </w:rPr>
        <w:footnoteReference w:id="15"/>
      </w:r>
      <w:r w:rsidR="00EB718A">
        <w:t xml:space="preserve"> It also recalls that investiga</w:t>
      </w:r>
      <w:r w:rsidR="008906EA">
        <w:t>tions into allegations of violat</w:t>
      </w:r>
      <w:r w:rsidR="00EB718A">
        <w:t>ion</w:t>
      </w:r>
      <w:r w:rsidR="0009328B">
        <w:t>s</w:t>
      </w:r>
      <w:r w:rsidR="00EB718A">
        <w:t xml:space="preserve"> of article 6 must always be independent, impartial, prompt, thorough, effective, credible and transparent, and in the event that a violation is found, full reparation must be provided</w:t>
      </w:r>
      <w:r w:rsidR="00B33FE1">
        <w:t>, including, in view of the particular ci</w:t>
      </w:r>
      <w:r w:rsidR="008906EA">
        <w:t>r</w:t>
      </w:r>
      <w:r w:rsidR="00B33FE1">
        <w:t>cumstances of the case, adequate measures of compensation, rehabilitation and satisfaction.</w:t>
      </w:r>
      <w:r w:rsidR="00FF72FB">
        <w:rPr>
          <w:rStyle w:val="FootnoteReference"/>
        </w:rPr>
        <w:footnoteReference w:id="16"/>
      </w:r>
    </w:p>
    <w:p w14:paraId="310F54CD" w14:textId="3CC56378" w:rsidR="00EE4740" w:rsidRDefault="002E07C5" w:rsidP="00915DE0">
      <w:pPr>
        <w:pStyle w:val="SingleTxtG"/>
        <w:keepNext/>
      </w:pPr>
      <w:r>
        <w:t>7.7</w:t>
      </w:r>
      <w:r w:rsidR="00004299">
        <w:tab/>
      </w:r>
      <w:r w:rsidR="001332C7">
        <w:t>The Committee observes that</w:t>
      </w:r>
      <w:r w:rsidR="000B0626">
        <w:t>, in the case at hand,</w:t>
      </w:r>
      <w:r w:rsidR="001332C7">
        <w:t xml:space="preserve"> the ei</w:t>
      </w:r>
      <w:r>
        <w:t xml:space="preserve">ght </w:t>
      </w:r>
      <w:r w:rsidR="00855F6D">
        <w:t>soldiers</w:t>
      </w:r>
      <w:r>
        <w:t xml:space="preserve"> were tried and found </w:t>
      </w:r>
      <w:r w:rsidR="009B16EF">
        <w:t>to have caused</w:t>
      </w:r>
      <w:r w:rsidR="000B0626">
        <w:t xml:space="preserve"> the deaths of Mr. and Mrs.</w:t>
      </w:r>
      <w:r>
        <w:t xml:space="preserve"> </w:t>
      </w:r>
      <w:proofErr w:type="spellStart"/>
      <w:r>
        <w:t>Japalali</w:t>
      </w:r>
      <w:proofErr w:type="spellEnd"/>
      <w:r w:rsidR="00951183">
        <w:t>,</w:t>
      </w:r>
      <w:r>
        <w:t xml:space="preserve"> </w:t>
      </w:r>
      <w:r w:rsidR="007E1992">
        <w:t>but</w:t>
      </w:r>
      <w:r w:rsidR="001332C7">
        <w:t xml:space="preserve"> </w:t>
      </w:r>
      <w:r w:rsidR="00951183">
        <w:t xml:space="preserve">then </w:t>
      </w:r>
      <w:r w:rsidR="001332C7">
        <w:t xml:space="preserve">acquitted </w:t>
      </w:r>
      <w:r w:rsidR="002A7FEF">
        <w:t xml:space="preserve">of the charges of homicide </w:t>
      </w:r>
      <w:r w:rsidR="001332C7">
        <w:t>on the ground</w:t>
      </w:r>
      <w:r w:rsidR="00951183">
        <w:t>s</w:t>
      </w:r>
      <w:r w:rsidR="001332C7">
        <w:t xml:space="preserve"> that they had obeyed lawful orders from a superior an</w:t>
      </w:r>
      <w:r>
        <w:t>d that they had carried out these</w:t>
      </w:r>
      <w:r w:rsidR="001332C7">
        <w:t xml:space="preserve"> orders lawfully. In reaching this conclusion, the trial court considered that the perpetrators’ guilt had not been proven beyond reasonable </w:t>
      </w:r>
      <w:r w:rsidR="0053314C">
        <w:t xml:space="preserve">doubt </w:t>
      </w:r>
      <w:r w:rsidR="001332C7">
        <w:t xml:space="preserve">in light of </w:t>
      </w:r>
      <w:r w:rsidR="0053314C">
        <w:t xml:space="preserve">some inconsistencies </w:t>
      </w:r>
      <w:r w:rsidR="007B5C28">
        <w:t xml:space="preserve">described </w:t>
      </w:r>
      <w:r w:rsidR="0053314C">
        <w:t>in the crime scene</w:t>
      </w:r>
      <w:r w:rsidR="00844EAC">
        <w:t xml:space="preserve"> and because of </w:t>
      </w:r>
      <w:r w:rsidR="00D03EBA">
        <w:t>some contradiction</w:t>
      </w:r>
      <w:r w:rsidR="00596307">
        <w:t>s</w:t>
      </w:r>
      <w:r w:rsidR="00D03EBA">
        <w:t xml:space="preserve"> in the witness</w:t>
      </w:r>
      <w:r w:rsidR="00844EAC">
        <w:t xml:space="preserve"> accounts of the incident</w:t>
      </w:r>
      <w:r w:rsidR="0053314C">
        <w:t xml:space="preserve">. </w:t>
      </w:r>
    </w:p>
    <w:p w14:paraId="5A6C8A0F" w14:textId="54D8A8D3" w:rsidR="00EE65FD" w:rsidRDefault="00FD5042" w:rsidP="0063456C">
      <w:pPr>
        <w:pStyle w:val="SingleTxtG"/>
        <w:keepNext/>
      </w:pPr>
      <w:r>
        <w:t>7.8</w:t>
      </w:r>
      <w:r w:rsidR="00E50206">
        <w:tab/>
      </w:r>
      <w:r w:rsidR="00C1245E">
        <w:t>However,</w:t>
      </w:r>
      <w:r w:rsidR="00844EAC">
        <w:t xml:space="preserve"> the</w:t>
      </w:r>
      <w:r w:rsidR="00FB4B7E">
        <w:t xml:space="preserve"> Committee also notes that the</w:t>
      </w:r>
      <w:r w:rsidR="00844EAC">
        <w:t xml:space="preserve"> State party has not provided </w:t>
      </w:r>
      <w:r w:rsidR="00FB4B7E">
        <w:t xml:space="preserve">any </w:t>
      </w:r>
      <w:r w:rsidR="00CB3F47">
        <w:t xml:space="preserve">specific information that sufficient </w:t>
      </w:r>
      <w:r w:rsidR="00844EAC">
        <w:t xml:space="preserve">measures were undertaken to </w:t>
      </w:r>
      <w:r w:rsidR="002379CF">
        <w:t>establish whether</w:t>
      </w:r>
      <w:r w:rsidR="00844EAC">
        <w:t xml:space="preserve"> </w:t>
      </w:r>
      <w:r w:rsidR="00E82BF7">
        <w:t xml:space="preserve">the lethal force </w:t>
      </w:r>
      <w:r w:rsidR="00FB4B7E">
        <w:t>used</w:t>
      </w:r>
      <w:r w:rsidR="00327FFE">
        <w:t xml:space="preserve"> in an area of civilian residence</w:t>
      </w:r>
      <w:r w:rsidR="00FB4B7E">
        <w:t xml:space="preserve">, which </w:t>
      </w:r>
      <w:r w:rsidR="00FA6086">
        <w:t>resulted in the arbitrary deprivation of life of the victims</w:t>
      </w:r>
      <w:r w:rsidR="00FB4B7E">
        <w:t>,</w:t>
      </w:r>
      <w:r w:rsidR="00FA6086">
        <w:t xml:space="preserve"> </w:t>
      </w:r>
      <w:r w:rsidR="00E82BF7">
        <w:t xml:space="preserve">was no more than necessary. </w:t>
      </w:r>
      <w:r w:rsidR="00EE65FD">
        <w:t xml:space="preserve">Nor has the State party </w:t>
      </w:r>
      <w:r w:rsidR="00EA49E0">
        <w:t>established</w:t>
      </w:r>
      <w:r w:rsidR="00EE65FD">
        <w:t xml:space="preserve"> that </w:t>
      </w:r>
      <w:r w:rsidR="00EA49E0">
        <w:t>an effective investigation was</w:t>
      </w:r>
      <w:r w:rsidR="00EE65FD">
        <w:t xml:space="preserve"> undertaken </w:t>
      </w:r>
      <w:r w:rsidR="00EA49E0">
        <w:t xml:space="preserve">into the decisions and actions that resulted in the arbitrary </w:t>
      </w:r>
      <w:r w:rsidR="00EE65FD">
        <w:t>deprivation of life of the victims</w:t>
      </w:r>
      <w:r w:rsidR="00CB3F47">
        <w:t>, especially in light of the reported lack of sealing of the scene of the killing until two hours after the fatal shooting</w:t>
      </w:r>
      <w:r w:rsidR="00EE65FD">
        <w:t>.</w:t>
      </w:r>
    </w:p>
    <w:p w14:paraId="5F99FE86" w14:textId="56B42E23" w:rsidR="002A7FEF" w:rsidRDefault="00132A27" w:rsidP="0063456C">
      <w:pPr>
        <w:pStyle w:val="SingleTxtG"/>
        <w:keepNext/>
      </w:pPr>
      <w:r>
        <w:t>7.9</w:t>
      </w:r>
      <w:r w:rsidR="00EE65FD">
        <w:tab/>
      </w:r>
      <w:r w:rsidR="00E82BF7">
        <w:t xml:space="preserve"> In light of th</w:t>
      </w:r>
      <w:r w:rsidR="00BE0E85">
        <w:t xml:space="preserve">e </w:t>
      </w:r>
      <w:r w:rsidR="000C1705">
        <w:t xml:space="preserve">above and the </w:t>
      </w:r>
      <w:r w:rsidR="00FB4B7E">
        <w:t xml:space="preserve">Committee’s </w:t>
      </w:r>
      <w:r w:rsidR="00BE0E85">
        <w:t xml:space="preserve">finding that the </w:t>
      </w:r>
      <w:r w:rsidR="00BE0E85" w:rsidRPr="007573C3">
        <w:t>State party</w:t>
      </w:r>
      <w:r w:rsidR="00BE0E85">
        <w:t xml:space="preserve"> arbitrarily deprived Bakar </w:t>
      </w:r>
      <w:proofErr w:type="spellStart"/>
      <w:r w:rsidR="00BE0E85">
        <w:t>Japalali</w:t>
      </w:r>
      <w:proofErr w:type="spellEnd"/>
      <w:r w:rsidR="00BE0E85">
        <w:t xml:space="preserve"> and Carmen </w:t>
      </w:r>
      <w:proofErr w:type="spellStart"/>
      <w:r w:rsidR="00BE0E85">
        <w:t>Baloyo-Japalali</w:t>
      </w:r>
      <w:proofErr w:type="spellEnd"/>
      <w:r w:rsidR="00BE0E85" w:rsidRPr="007573C3">
        <w:t xml:space="preserve"> </w:t>
      </w:r>
      <w:r w:rsidR="00BE0E85">
        <w:t xml:space="preserve">of their lives in violation of </w:t>
      </w:r>
      <w:r w:rsidR="00BE0E85" w:rsidRPr="007573C3">
        <w:t>article 6</w:t>
      </w:r>
      <w:r w:rsidR="002E4B1A">
        <w:t xml:space="preserve">(1) </w:t>
      </w:r>
      <w:r w:rsidR="00BE0E85" w:rsidRPr="007573C3">
        <w:t>of the Covenant</w:t>
      </w:r>
      <w:r w:rsidR="00BE0E85">
        <w:t xml:space="preserve">, </w:t>
      </w:r>
      <w:r w:rsidR="007A04BF">
        <w:t xml:space="preserve">the Committee finds that </w:t>
      </w:r>
      <w:r w:rsidR="00615C7E">
        <w:t>the author</w:t>
      </w:r>
      <w:r w:rsidR="0093631F">
        <w:t xml:space="preserve"> </w:t>
      </w:r>
      <w:r w:rsidR="000C1705">
        <w:t xml:space="preserve">was deprived </w:t>
      </w:r>
      <w:r w:rsidR="0093631F">
        <w:t>of</w:t>
      </w:r>
      <w:r w:rsidR="00615C7E">
        <w:t xml:space="preserve"> an effective remedy for establishing truth and justice regarding the State party’s responsibility for the deaths of </w:t>
      </w:r>
      <w:r w:rsidR="0011459C">
        <w:t>his relatives</w:t>
      </w:r>
      <w:r w:rsidR="007A04BF">
        <w:t>. T</w:t>
      </w:r>
      <w:r w:rsidR="00FA6086">
        <w:t>he</w:t>
      </w:r>
      <w:r w:rsidR="00D31FAE">
        <w:t xml:space="preserve"> Committee concludes that the State party has violated the author’s rights under article 2(3)</w:t>
      </w:r>
      <w:r w:rsidR="00526937">
        <w:t>,</w:t>
      </w:r>
      <w:r w:rsidR="00D31FAE">
        <w:t xml:space="preserve"> read in conjunction with article 6</w:t>
      </w:r>
      <w:r w:rsidR="00CB3F47">
        <w:t>(1)</w:t>
      </w:r>
      <w:r w:rsidR="00902A46">
        <w:t xml:space="preserve"> of the Covenant</w:t>
      </w:r>
      <w:r w:rsidR="00D31FAE">
        <w:t>.</w:t>
      </w:r>
    </w:p>
    <w:p w14:paraId="43ECBFED" w14:textId="0CFD8064" w:rsidR="00927527" w:rsidRPr="00606B7C" w:rsidRDefault="00D402BB" w:rsidP="00927527">
      <w:pPr>
        <w:pStyle w:val="SingleTxtG"/>
      </w:pPr>
      <w:r>
        <w:t>8</w:t>
      </w:r>
      <w:r w:rsidR="00897258">
        <w:t>.</w:t>
      </w:r>
      <w:r w:rsidR="00927527" w:rsidRPr="00606B7C">
        <w:tab/>
      </w:r>
      <w:r w:rsidR="00B81A03" w:rsidRPr="00280923">
        <w:t xml:space="preserve">The Human Rights Committee, acting under article 5, paragraph 4, of the Optional Protocol to the International Covenant on Civil and Political Rights, is of the view that the information before it discloses violations by the </w:t>
      </w:r>
      <w:r w:rsidR="00E01340">
        <w:t>State party of article 6, paragraph 1,</w:t>
      </w:r>
      <w:r w:rsidR="00B81A03" w:rsidRPr="00280923">
        <w:t xml:space="preserve"> </w:t>
      </w:r>
      <w:r w:rsidR="00BB3420">
        <w:t xml:space="preserve">of the Covenant </w:t>
      </w:r>
      <w:r w:rsidR="00B81A03" w:rsidRPr="00280923">
        <w:t xml:space="preserve">with regard to </w:t>
      </w:r>
      <w:r w:rsidR="00E01340">
        <w:t xml:space="preserve">Bakar </w:t>
      </w:r>
      <w:proofErr w:type="spellStart"/>
      <w:r w:rsidR="00E01340">
        <w:t>Japalali</w:t>
      </w:r>
      <w:proofErr w:type="spellEnd"/>
      <w:r w:rsidR="00E01340">
        <w:t xml:space="preserve"> and Carmen </w:t>
      </w:r>
      <w:proofErr w:type="spellStart"/>
      <w:r w:rsidR="00E01340">
        <w:t>Baloyo-Japalali</w:t>
      </w:r>
      <w:proofErr w:type="spellEnd"/>
      <w:r w:rsidR="00E01340">
        <w:t>, and of article 2, paragraph 3,</w:t>
      </w:r>
      <w:r w:rsidR="00B81A03" w:rsidRPr="00280923">
        <w:t xml:space="preserve"> read in</w:t>
      </w:r>
      <w:r w:rsidR="00E01340">
        <w:t xml:space="preserve"> conjunction with article 6, paragraph 1,</w:t>
      </w:r>
      <w:r w:rsidR="00335BB0">
        <w:t xml:space="preserve"> of the Covenant,</w:t>
      </w:r>
      <w:r w:rsidR="00B81A03" w:rsidRPr="00280923">
        <w:t xml:space="preserve"> with regard to the author.</w:t>
      </w:r>
    </w:p>
    <w:p w14:paraId="6C8BD251" w14:textId="6CE0AAC9" w:rsidR="00927527" w:rsidRDefault="00D402BB" w:rsidP="00927527">
      <w:pPr>
        <w:pStyle w:val="SingleTxtG"/>
      </w:pPr>
      <w:r>
        <w:t>9</w:t>
      </w:r>
      <w:r w:rsidR="00897258">
        <w:t>.</w:t>
      </w:r>
      <w:r w:rsidR="00927527" w:rsidRPr="00606B7C">
        <w:tab/>
      </w:r>
      <w:r w:rsidR="000D6F39" w:rsidRPr="00E548FB">
        <w:rPr>
          <w:lang w:val="x-none"/>
        </w:rPr>
        <w:t xml:space="preserve">In accordance with </w:t>
      </w:r>
      <w:r w:rsidR="000D6F39" w:rsidRPr="00F1649C">
        <w:t xml:space="preserve">article 2 (3) (a) of the Covenant, the State party is under an obligation to provide the author with an effective remedy. This requires it to make full reparation to individuals whose Covenant rights have been violated. Accordingly, the State party is obligated, inter alia, to </w:t>
      </w:r>
      <w:r w:rsidR="000D6F39">
        <w:t>(a) conduct</w:t>
      </w:r>
      <w:r w:rsidR="00B81A03" w:rsidRPr="00280923">
        <w:t xml:space="preserve"> a thorough and effective i</w:t>
      </w:r>
      <w:r w:rsidR="00E818A1">
        <w:t xml:space="preserve">nvestigation into the </w:t>
      </w:r>
      <w:r w:rsidR="001B2C73">
        <w:t>arbitrary deprivation of life</w:t>
      </w:r>
      <w:r w:rsidR="00B81A03" w:rsidRPr="00280923">
        <w:t xml:space="preserve"> of </w:t>
      </w:r>
      <w:r w:rsidR="00E01340">
        <w:t xml:space="preserve">Bakar </w:t>
      </w:r>
      <w:proofErr w:type="spellStart"/>
      <w:r w:rsidR="00E01340">
        <w:t>Japalali</w:t>
      </w:r>
      <w:proofErr w:type="spellEnd"/>
      <w:r w:rsidR="00E01340">
        <w:t xml:space="preserve"> and Carmen </w:t>
      </w:r>
      <w:proofErr w:type="spellStart"/>
      <w:r w:rsidR="00E01340">
        <w:t>Baloyo-Japalali</w:t>
      </w:r>
      <w:proofErr w:type="spellEnd"/>
      <w:r w:rsidR="00FD5042">
        <w:t xml:space="preserve"> by ar</w:t>
      </w:r>
      <w:r w:rsidR="007A7FA3">
        <w:t xml:space="preserve">my </w:t>
      </w:r>
      <w:r w:rsidR="00C3765C">
        <w:t>soldiers</w:t>
      </w:r>
      <w:r w:rsidR="00B81A03" w:rsidRPr="00280923">
        <w:t xml:space="preserve">; (b) </w:t>
      </w:r>
      <w:r w:rsidR="000D6F39">
        <w:t>provide</w:t>
      </w:r>
      <w:r w:rsidR="00B81A03" w:rsidRPr="005672DE">
        <w:t xml:space="preserve"> the author and his family with detailed info</w:t>
      </w:r>
      <w:r w:rsidR="00E818A1">
        <w:t>rmation about the results of this</w:t>
      </w:r>
      <w:r w:rsidR="00B81A03" w:rsidRPr="005672DE">
        <w:t xml:space="preserve"> investigation; </w:t>
      </w:r>
      <w:r w:rsidR="0070099E">
        <w:t xml:space="preserve">and </w:t>
      </w:r>
      <w:r w:rsidR="00B81A03" w:rsidRPr="005672DE">
        <w:t>(c</w:t>
      </w:r>
      <w:proofErr w:type="gramStart"/>
      <w:r w:rsidR="00B81A03" w:rsidRPr="005672DE">
        <w:t>)</w:t>
      </w:r>
      <w:r w:rsidR="00980AA0">
        <w:t>provide</w:t>
      </w:r>
      <w:proofErr w:type="gramEnd"/>
      <w:r w:rsidR="00B81A03" w:rsidRPr="00280923">
        <w:t xml:space="preserve"> adequate compensation to the author. Notwithstanding the terms of</w:t>
      </w:r>
      <w:r w:rsidR="00220EAD">
        <w:t xml:space="preserve"> </w:t>
      </w:r>
      <w:r w:rsidR="007341D3">
        <w:t>article III, Section 21 of the Philippine Constitution</w:t>
      </w:r>
      <w:r w:rsidR="00B81A03" w:rsidRPr="00280923">
        <w:t>, the State party should ensure that it does not impede enjoyment of the right to an effective remedy for</w:t>
      </w:r>
      <w:r w:rsidR="007341D3">
        <w:t xml:space="preserve"> serious human rights violations</w:t>
      </w:r>
      <w:r w:rsidR="00B81A03" w:rsidRPr="00280923">
        <w:t xml:space="preserve"> such as extraj</w:t>
      </w:r>
      <w:r w:rsidR="007341D3">
        <w:t>udicial executions</w:t>
      </w:r>
      <w:r w:rsidR="00B81A03" w:rsidRPr="00280923">
        <w:t>. The State party is also under an obligation to prevent similar violations in the fu</w:t>
      </w:r>
      <w:r w:rsidR="00F10E18">
        <w:t>ture</w:t>
      </w:r>
      <w:r w:rsidR="00DD3167">
        <w:t>.</w:t>
      </w:r>
    </w:p>
    <w:p w14:paraId="4B106ADB" w14:textId="0204DF81" w:rsidR="00D50DC0" w:rsidRDefault="00927527" w:rsidP="00BD2D8A">
      <w:pPr>
        <w:pStyle w:val="SingleTxtG"/>
      </w:pPr>
      <w:r w:rsidRPr="00606B7C">
        <w:t>1</w:t>
      </w:r>
      <w:r w:rsidR="00D402BB">
        <w:t>0</w:t>
      </w:r>
      <w:r w:rsidR="00897258">
        <w:t>.</w:t>
      </w:r>
      <w:r w:rsidRPr="00606B7C">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w:t>
      </w:r>
      <w:r>
        <w:t>the present</w:t>
      </w:r>
      <w:r w:rsidRPr="00606B7C">
        <w:t xml:space="preserve"> Views. The State party is also requested to publish the </w:t>
      </w:r>
      <w:r>
        <w:t>present</w:t>
      </w:r>
      <w:r w:rsidRPr="00606B7C">
        <w:t xml:space="preserve"> Views</w:t>
      </w:r>
      <w:r>
        <w:t xml:space="preserve"> and to have them translated into the official language of the State party and widely distributed</w:t>
      </w:r>
      <w:r w:rsidR="00BD2D8A">
        <w:t>.</w:t>
      </w:r>
    </w:p>
    <w:p w14:paraId="10DD1008" w14:textId="4423F425" w:rsidR="00D22944" w:rsidRDefault="00D22944" w:rsidP="00BD2E76">
      <w:pPr>
        <w:pStyle w:val="SingleTxtG"/>
        <w:spacing w:before="240" w:after="0"/>
        <w:jc w:val="center"/>
        <w:rPr>
          <w:u w:val="single"/>
        </w:rPr>
        <w:sectPr w:rsidR="00D22944" w:rsidSect="000619EE">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993" w:header="1134" w:footer="1701" w:gutter="0"/>
          <w:cols w:space="720"/>
          <w:titlePg/>
          <w:docGrid w:linePitch="272"/>
        </w:sectPr>
      </w:pPr>
    </w:p>
    <w:p w14:paraId="033D4ECA" w14:textId="4D6F22AD" w:rsidR="00BD2E76" w:rsidRDefault="00B35F90" w:rsidP="003B4309">
      <w:pPr>
        <w:pStyle w:val="HChG"/>
      </w:pPr>
      <w:r>
        <w:t>Annex: 1</w:t>
      </w:r>
    </w:p>
    <w:p w14:paraId="177A8F5F" w14:textId="298F4183" w:rsidR="00D22944" w:rsidRDefault="00D22944" w:rsidP="003B4309">
      <w:pPr>
        <w:pStyle w:val="H1G"/>
      </w:pPr>
      <w:r>
        <w:tab/>
      </w:r>
      <w:r>
        <w:tab/>
      </w:r>
      <w:r w:rsidR="00A47D02">
        <w:t>Individual</w:t>
      </w:r>
      <w:r>
        <w:t xml:space="preserve"> </w:t>
      </w:r>
      <w:r w:rsidRPr="00211DBB">
        <w:t>opinion</w:t>
      </w:r>
      <w:r>
        <w:t xml:space="preserve"> by</w:t>
      </w:r>
      <w:r w:rsidRPr="00EE0284">
        <w:t xml:space="preserve"> Mr. </w:t>
      </w:r>
      <w:r w:rsidRPr="004E73F5">
        <w:rPr>
          <w:szCs w:val="24"/>
          <w:lang w:val="en-US"/>
        </w:rPr>
        <w:t xml:space="preserve">Gentian </w:t>
      </w:r>
      <w:proofErr w:type="spellStart"/>
      <w:r w:rsidRPr="004E73F5">
        <w:rPr>
          <w:szCs w:val="24"/>
          <w:lang w:val="en-US"/>
        </w:rPr>
        <w:t>Zyberi</w:t>
      </w:r>
      <w:proofErr w:type="spellEnd"/>
      <w:r w:rsidRPr="00EE0284">
        <w:t xml:space="preserve"> (</w:t>
      </w:r>
      <w:r w:rsidR="00A47D02">
        <w:t>concurring</w:t>
      </w:r>
      <w:r w:rsidRPr="00EE0284">
        <w:t>)</w:t>
      </w:r>
    </w:p>
    <w:p w14:paraId="1E30A8C3" w14:textId="076F3870" w:rsidR="00D22944" w:rsidRDefault="00D22944" w:rsidP="003B4309">
      <w:pPr>
        <w:pStyle w:val="SingleTxtG"/>
      </w:pPr>
      <w:r>
        <w:rPr>
          <w:rStyle w:val="SingleTxtGChar"/>
        </w:rPr>
        <w:t>1.</w:t>
      </w:r>
      <w:r>
        <w:rPr>
          <w:rStyle w:val="SingleTxtGChar"/>
        </w:rPr>
        <w:tab/>
      </w:r>
      <w:r w:rsidRPr="00581E1F">
        <w:rPr>
          <w:rStyle w:val="SingleTxtGChar"/>
        </w:rPr>
        <w:t xml:space="preserve">While I am </w:t>
      </w:r>
      <w:r w:rsidR="00A47D02">
        <w:rPr>
          <w:rStyle w:val="SingleTxtGChar"/>
        </w:rPr>
        <w:t xml:space="preserve">in agreement </w:t>
      </w:r>
      <w:r w:rsidRPr="00581E1F">
        <w:rPr>
          <w:rStyle w:val="SingleTxtGChar"/>
        </w:rPr>
        <w:t xml:space="preserve">with the conclusions of the Committee concerning the violation of Article 6(1) of the Covenant with regard to Bakar </w:t>
      </w:r>
      <w:proofErr w:type="spellStart"/>
      <w:r w:rsidRPr="00581E1F">
        <w:rPr>
          <w:rStyle w:val="SingleTxtGChar"/>
        </w:rPr>
        <w:t>Japalali</w:t>
      </w:r>
      <w:proofErr w:type="spellEnd"/>
      <w:r w:rsidRPr="00581E1F">
        <w:rPr>
          <w:rStyle w:val="SingleTxtGChar"/>
        </w:rPr>
        <w:t xml:space="preserve"> and Carmen </w:t>
      </w:r>
      <w:proofErr w:type="spellStart"/>
      <w:r w:rsidRPr="00581E1F">
        <w:rPr>
          <w:rStyle w:val="SingleTxtGChar"/>
        </w:rPr>
        <w:t>Baloyo-Japalali</w:t>
      </w:r>
      <w:proofErr w:type="spellEnd"/>
      <w:r w:rsidRPr="00581E1F">
        <w:rPr>
          <w:rStyle w:val="SingleTxtGChar"/>
        </w:rPr>
        <w:t>, and of Article 2(3), read in conjunction with Article 6(1) of the Covenant, with regard to the author (para. 8), the purpose of this concurring opinion is to discuss briefly the applicability of the fundamental principles of international humanitarian law (IHL) of precautions in attack, distinction, and proportionality. In explaining the relationship of Article 6 with other articles of the Covenant and other legal regimes, General Comment 36 on the Right to Life notes that like the rest of the Covenant, Article 6 continues to apply also in situations of armed conflict to which the rules of IHL are applicable, including to the conduct of hostilities.</w:t>
      </w:r>
      <w:r>
        <w:rPr>
          <w:rStyle w:val="FootnoteReference"/>
        </w:rPr>
        <w:footnoteReference w:id="17"/>
      </w:r>
      <w:r w:rsidRPr="00581E1F">
        <w:rPr>
          <w:rStyle w:val="SingleTxtGChar"/>
        </w:rPr>
        <w:t xml:space="preserve"> The case at hand arises from a military operation conducted in the context of a non-international armed conflict between the Philippine armed forces and the Moro National Liberation Front (MILF), which is a faction of the Southern Philippines Secessionist Group (SPSG). This military operation resulted in the killing of Bakar </w:t>
      </w:r>
      <w:proofErr w:type="spellStart"/>
      <w:r w:rsidRPr="00581E1F">
        <w:rPr>
          <w:rStyle w:val="SingleTxtGChar"/>
        </w:rPr>
        <w:t>Japalali</w:t>
      </w:r>
      <w:proofErr w:type="spellEnd"/>
      <w:r w:rsidRPr="00581E1F">
        <w:rPr>
          <w:rStyle w:val="SingleTxtGChar"/>
        </w:rPr>
        <w:t xml:space="preserve">, and his wife, Carmen </w:t>
      </w:r>
      <w:proofErr w:type="spellStart"/>
      <w:r w:rsidRPr="00581E1F">
        <w:rPr>
          <w:rStyle w:val="SingleTxtGChar"/>
        </w:rPr>
        <w:t>Baloyo-Japalali</w:t>
      </w:r>
      <w:proofErr w:type="spellEnd"/>
      <w:r w:rsidRPr="00581E1F">
        <w:rPr>
          <w:rStyle w:val="SingleTxtGChar"/>
        </w:rPr>
        <w:t xml:space="preserve"> (para. 2.1). The facts of the case reveal what is public knowledge, namely the existence of an armed conflict in the southern Philippines, which has been ongoing with varied levels of intensity since the 1970s. By the State’s own admission, the </w:t>
      </w:r>
      <w:proofErr w:type="spellStart"/>
      <w:r w:rsidRPr="00581E1F">
        <w:rPr>
          <w:rStyle w:val="SingleTxtGChar"/>
        </w:rPr>
        <w:t>Japalali</w:t>
      </w:r>
      <w:proofErr w:type="spellEnd"/>
      <w:r w:rsidRPr="00581E1F">
        <w:rPr>
          <w:rStyle w:val="SingleTxtGChar"/>
        </w:rPr>
        <w:t xml:space="preserve"> couple were killed during a legitimate military strike operation (para. 4.10, emphasis added).</w:t>
      </w:r>
      <w:r w:rsidRPr="00581E1F">
        <w:t xml:space="preserve"> </w:t>
      </w:r>
    </w:p>
    <w:p w14:paraId="4BC6FF7B" w14:textId="77777777" w:rsidR="00D22944" w:rsidRPr="00581E1F" w:rsidRDefault="00D22944" w:rsidP="003B4309">
      <w:pPr>
        <w:pStyle w:val="SingleTxtG"/>
        <w:rPr>
          <w:rStyle w:val="SingleTxtGChar"/>
        </w:rPr>
      </w:pPr>
      <w:r w:rsidRPr="00E614D1">
        <w:t>2.</w:t>
      </w:r>
      <w:r w:rsidRPr="00E614D1">
        <w:tab/>
      </w:r>
      <w:r w:rsidRPr="00581E1F">
        <w:rPr>
          <w:rStyle w:val="SingleTxtGChar"/>
        </w:rPr>
        <w:t xml:space="preserve">Notably, the Committee has pointed out that the State party has not provided specific information about any verification measures taken by the armed forces concerned before or during the execution of the strike operation in an area inhabited by civilians to ensure that the lethal force used was no more than necessary, in particular in view of the uncontested account of the repeated firing at the house for ten minutes and the shooting of Mrs. </w:t>
      </w:r>
      <w:proofErr w:type="spellStart"/>
      <w:r w:rsidRPr="00581E1F">
        <w:rPr>
          <w:rStyle w:val="SingleTxtGChar"/>
        </w:rPr>
        <w:t>Japalali</w:t>
      </w:r>
      <w:proofErr w:type="spellEnd"/>
      <w:r w:rsidRPr="00581E1F">
        <w:rPr>
          <w:rStyle w:val="SingleTxtGChar"/>
        </w:rPr>
        <w:t xml:space="preserve"> in the back while she was hanging in the stairs of the house, already wounded, calling for help (para. 7.3). </w:t>
      </w:r>
    </w:p>
    <w:p w14:paraId="2C43E5D4" w14:textId="77777777" w:rsidR="00D22944" w:rsidRPr="00C03E63" w:rsidRDefault="00D22944" w:rsidP="00D22944">
      <w:pPr>
        <w:pStyle w:val="H4G"/>
        <w:rPr>
          <w:lang w:val="en-US"/>
        </w:rPr>
      </w:pPr>
      <w:r>
        <w:rPr>
          <w:lang w:val="en-US"/>
        </w:rPr>
        <w:tab/>
      </w:r>
      <w:r>
        <w:rPr>
          <w:lang w:val="en-US"/>
        </w:rPr>
        <w:tab/>
        <w:t>The principles of precaution, distinction, and proportionality</w:t>
      </w:r>
    </w:p>
    <w:p w14:paraId="43D4CF2E" w14:textId="1BB5B915" w:rsidR="00D22944" w:rsidRPr="00581E1F" w:rsidRDefault="00D22944" w:rsidP="003B4309">
      <w:pPr>
        <w:pStyle w:val="SingleTxtG"/>
        <w:rPr>
          <w:rStyle w:val="SingleTxtGChar"/>
          <w:i/>
        </w:rPr>
      </w:pPr>
      <w:r w:rsidRPr="00581E1F">
        <w:t>3.</w:t>
      </w:r>
      <w:r w:rsidRPr="00581E1F">
        <w:tab/>
      </w:r>
      <w:r w:rsidRPr="00581E1F">
        <w:rPr>
          <w:rStyle w:val="SingleTxtGChar"/>
        </w:rPr>
        <w:t>The verification measures referred to by the Committee (para. 7.3) relate to precautionary measures that any armed forces must take to ensure that their military operations are only directed against lawful targets. IHL requires that in the conduct of military operations, constant care must be taken to spare</w:t>
      </w:r>
      <w:r w:rsidRPr="00581E1F">
        <w:t xml:space="preserve"> </w:t>
      </w:r>
      <w:r w:rsidRPr="00581E1F">
        <w:rPr>
          <w:rStyle w:val="SingleTxtGChar"/>
        </w:rPr>
        <w:t>civilians and civilian objects. In that spirit, General Comment 36 provides that, “practices inconsistent with international humanitarian law, entailing a risk to the lives of civilians and other persons protected by international humanitarian law, including the targeting of civilians, civilian objects and objects indispensable to the survival of the civilian population, indiscriminate attacks, failure to apply the principles of precaution and proportionality, and the use of human shields, would also vio</w:t>
      </w:r>
      <w:r w:rsidR="00B35F90">
        <w:rPr>
          <w:rStyle w:val="SingleTxtGChar"/>
        </w:rPr>
        <w:t>late article 6 of the Covenant.</w:t>
      </w:r>
      <w:r w:rsidRPr="00B35F90">
        <w:rPr>
          <w:rStyle w:val="SingleTxtGChar"/>
          <w:rFonts w:asciiTheme="minorHAnsi" w:hAnsiTheme="minorHAnsi"/>
          <w:sz w:val="22"/>
          <w:vertAlign w:val="superscript"/>
        </w:rPr>
        <w:footnoteReference w:id="18"/>
      </w:r>
      <w:r w:rsidRPr="00B35F90">
        <w:rPr>
          <w:rStyle w:val="SingleTxtGChar"/>
          <w:vertAlign w:val="superscript"/>
        </w:rPr>
        <w:t xml:space="preserve"> </w:t>
      </w:r>
      <w:r w:rsidRPr="00581E1F">
        <w:rPr>
          <w:rStyle w:val="SingleTxtGChar"/>
        </w:rPr>
        <w:t>In explaining the obligation incumbent on the part of States parties to provide specific information concerning military operations General Comment 36 provides that, “States parties should, in general, disclose the criteria for attacking with lethal force individuals or objects whose targeting is expected to result in deprivation of life, including the legal basis for specific attacks, the process of identification of military targets and combatants or persons taking a direct part in hostilities, the circumstances in which relevant means and methods of warfare have been used, and whether less harmfu</w:t>
      </w:r>
      <w:r w:rsidR="00B35F90">
        <w:rPr>
          <w:rStyle w:val="SingleTxtGChar"/>
        </w:rPr>
        <w:t>l alternatives were considered.</w:t>
      </w:r>
      <w:r w:rsidRPr="00B35F90">
        <w:rPr>
          <w:rStyle w:val="SingleTxtGChar"/>
          <w:rFonts w:asciiTheme="minorHAnsi" w:hAnsiTheme="minorHAnsi"/>
          <w:sz w:val="22"/>
          <w:vertAlign w:val="superscript"/>
        </w:rPr>
        <w:footnoteReference w:id="19"/>
      </w:r>
      <w:r w:rsidRPr="00581E1F">
        <w:rPr>
          <w:rStyle w:val="SingleTxtGChar"/>
        </w:rPr>
        <w:t xml:space="preserve"> </w:t>
      </w:r>
    </w:p>
    <w:p w14:paraId="561CF765" w14:textId="77777777" w:rsidR="00D22944" w:rsidRPr="00581E1F" w:rsidRDefault="00D22944" w:rsidP="003B4309">
      <w:pPr>
        <w:pStyle w:val="SingleTxtG"/>
        <w:rPr>
          <w:rStyle w:val="SingleTxtGChar"/>
        </w:rPr>
      </w:pPr>
      <w:r w:rsidRPr="00E614D1">
        <w:t>4.</w:t>
      </w:r>
      <w:r w:rsidRPr="00E614D1">
        <w:tab/>
      </w:r>
      <w:r w:rsidRPr="00581E1F">
        <w:rPr>
          <w:rStyle w:val="SingleTxtGChar"/>
        </w:rPr>
        <w:t xml:space="preserve">If circumstances permit, advance warning must be given for military operations which may affect the civilian population. No such warning, nor a reason as to why giving such warning would not have been possible, has been given by the State party. Additionally, an attack must be cancelled, if it becomes apparent that it is prohibited. Mrs. </w:t>
      </w:r>
      <w:proofErr w:type="spellStart"/>
      <w:r w:rsidRPr="00581E1F">
        <w:rPr>
          <w:rStyle w:val="SingleTxtGChar"/>
        </w:rPr>
        <w:t>Japalali</w:t>
      </w:r>
      <w:proofErr w:type="spellEnd"/>
      <w:r w:rsidRPr="00581E1F">
        <w:rPr>
          <w:rStyle w:val="SingleTxtGChar"/>
        </w:rPr>
        <w:t xml:space="preserve"> was shot in the back while she was hanging in the stairs of the house, already wounded, calling for help. These circumstances indicate a violation of the fundamental IHL principles of precaution and distinction. Such serious failures by an armed unit of the Philippine government’s army engage the responsibility of this State with regard to Article 6.</w:t>
      </w:r>
    </w:p>
    <w:p w14:paraId="304BB5CF" w14:textId="77777777" w:rsidR="00D22944" w:rsidRPr="006F1FB0" w:rsidRDefault="00D22944" w:rsidP="00D22944">
      <w:pPr>
        <w:pStyle w:val="H4G"/>
        <w:rPr>
          <w:lang w:val="en-US"/>
        </w:rPr>
      </w:pPr>
      <w:r>
        <w:rPr>
          <w:lang w:val="en-US"/>
        </w:rPr>
        <w:tab/>
      </w:r>
      <w:r>
        <w:rPr>
          <w:lang w:val="en-US"/>
        </w:rPr>
        <w:tab/>
      </w:r>
      <w:r w:rsidRPr="006F1FB0">
        <w:rPr>
          <w:lang w:val="en-US"/>
        </w:rPr>
        <w:t xml:space="preserve">Investigation </w:t>
      </w:r>
    </w:p>
    <w:p w14:paraId="638A910D" w14:textId="273F1833" w:rsidR="00D22944" w:rsidRPr="00581E1F" w:rsidRDefault="00D22944" w:rsidP="003B4309">
      <w:pPr>
        <w:pStyle w:val="SingleTxtG"/>
      </w:pPr>
      <w:r>
        <w:t>5.</w:t>
      </w:r>
      <w:r>
        <w:tab/>
      </w:r>
      <w:r w:rsidRPr="00581E1F">
        <w:t xml:space="preserve">Another important aspect of the case relates to the investigation of the circumstances concerning the use of force resulting in the death of the </w:t>
      </w:r>
      <w:proofErr w:type="spellStart"/>
      <w:r w:rsidRPr="00581E1F">
        <w:t>Japalali</w:t>
      </w:r>
      <w:proofErr w:type="spellEnd"/>
      <w:r w:rsidRPr="00581E1F">
        <w:t xml:space="preserve"> couple. The scene of the killing was not secured by the soldiers immediately after the shooting, but only cordoned by the investigating police who arrived on the scene two hours after the shooting (paras. 2.4 and 7.8). General Comment 36 provides that States parties must also investigate alleged or suspected violations of article 6 in situations of armed conflict in accordance with the relevant international standards.</w:t>
      </w:r>
      <w:r w:rsidRPr="00B35F90">
        <w:rPr>
          <w:rFonts w:asciiTheme="minorHAnsi" w:hAnsiTheme="minorHAnsi"/>
          <w:sz w:val="22"/>
          <w:vertAlign w:val="superscript"/>
          <w:lang w:val="nb-NO"/>
        </w:rPr>
        <w:footnoteReference w:id="20"/>
      </w:r>
      <w:r w:rsidRPr="00B35F90">
        <w:rPr>
          <w:vertAlign w:val="superscript"/>
        </w:rPr>
        <w:t xml:space="preserve"> </w:t>
      </w:r>
      <w:r w:rsidRPr="00581E1F">
        <w:t xml:space="preserve">The Committee has noted that the State party has not established that an effective investigation was undertaken into the decisions and actions that resulted in the arbitrary deprivation of life of the victims, especially in light of the reported lack of sealing of the scene of the killing until two hours after the fatal shooting (para. 7.8). Hence, I </w:t>
      </w:r>
      <w:r w:rsidR="00A47D02">
        <w:t>agree</w:t>
      </w:r>
      <w:r w:rsidRPr="00581E1F">
        <w:t xml:space="preserve"> with the Committee’s finding a violation of the author’s right to an effective remedy under Article 2(3), read in conjunction with Article 6(1) of the Covenant. </w:t>
      </w:r>
    </w:p>
    <w:p w14:paraId="55EB8B2B" w14:textId="77777777" w:rsidR="00D22944" w:rsidRPr="00581E1F" w:rsidRDefault="00D22944" w:rsidP="00D22944">
      <w:pPr>
        <w:pStyle w:val="SingleTxtG"/>
        <w:rPr>
          <w:lang w:val="en-US"/>
        </w:rPr>
      </w:pPr>
    </w:p>
    <w:p w14:paraId="5B3C5BB2" w14:textId="77777777" w:rsidR="00D22944" w:rsidRPr="003B4309" w:rsidRDefault="00D22944" w:rsidP="003B4309">
      <w:pPr>
        <w:rPr>
          <w:lang w:val="en-US"/>
        </w:rPr>
      </w:pPr>
    </w:p>
    <w:sectPr w:rsidR="00D22944" w:rsidRPr="003B4309" w:rsidSect="000619EE">
      <w:headerReference w:type="default" r:id="rId17"/>
      <w:headerReference w:type="first" r:id="rId18"/>
      <w:footnotePr>
        <w:numRestart w:val="eachSect"/>
      </w:footnotePr>
      <w:endnotePr>
        <w:numFmt w:val="decimal"/>
      </w:endnotePr>
      <w:pgSz w:w="11907" w:h="16840" w:code="9"/>
      <w:pgMar w:top="1701" w:right="1134" w:bottom="2268" w:left="993"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7EB3" w14:textId="77777777" w:rsidR="00855F6D" w:rsidRDefault="00855F6D"/>
  </w:endnote>
  <w:endnote w:type="continuationSeparator" w:id="0">
    <w:p w14:paraId="5B0E2C76" w14:textId="77777777" w:rsidR="00855F6D" w:rsidRDefault="00855F6D"/>
  </w:endnote>
  <w:endnote w:type="continuationNotice" w:id="1">
    <w:p w14:paraId="458A8B3F" w14:textId="77777777" w:rsidR="00855F6D" w:rsidRDefault="00855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27AF" w14:textId="023DADF8" w:rsidR="00855F6D" w:rsidRPr="00A36331" w:rsidRDefault="00855F6D" w:rsidP="00D50DC0">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B35F90">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B26C" w14:textId="48FECF7C" w:rsidR="00855F6D" w:rsidRPr="00A36331" w:rsidRDefault="00855F6D" w:rsidP="00D50DC0">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B35F90">
      <w:rPr>
        <w:noProof/>
        <w:sz w:val="18"/>
      </w:rPr>
      <w:t>9</w:t>
    </w:r>
    <w:r w:rsidRPr="00A363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6B8D" w14:textId="2795264A" w:rsidR="00855F6D" w:rsidRDefault="00855F6D" w:rsidP="007C0AF8">
    <w:pPr>
      <w:pStyle w:val="Footer"/>
    </w:pPr>
    <w:r>
      <w:rPr>
        <w:rFonts w:ascii="C39T30Lfz" w:hAnsi="C39T30Lfz"/>
        <w:noProof/>
        <w:sz w:val="56"/>
        <w:lang w:eastAsia="en-GB"/>
      </w:rPr>
      <w:drawing>
        <wp:anchor distT="0" distB="0" distL="114300" distR="114300" simplePos="0" relativeHeight="251660288" behindDoc="0" locked="0" layoutInCell="1" allowOverlap="1" wp14:anchorId="74FDC7D6" wp14:editId="1CF831D4">
          <wp:simplePos x="0" y="0"/>
          <wp:positionH relativeFrom="margin">
            <wp:posOffset>5478780</wp:posOffset>
          </wp:positionH>
          <wp:positionV relativeFrom="margin">
            <wp:posOffset>7819228</wp:posOffset>
          </wp:positionV>
          <wp:extent cx="561975" cy="561975"/>
          <wp:effectExtent l="0" t="0" r="9525" b="9525"/>
          <wp:wrapNone/>
          <wp:docPr id="2" name="Picture 1" descr="https://undocs.org/m2/QRCode.ashx?DS=CCPR/C/125/DR/253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536/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6EEE47F4" wp14:editId="789C4A0F">
          <wp:simplePos x="0" y="0"/>
          <wp:positionH relativeFrom="margin">
            <wp:posOffset>4320540</wp:posOffset>
          </wp:positionH>
          <wp:positionV relativeFrom="margin">
            <wp:posOffset>8169275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F44A5EA" w14:textId="38EAC44B" w:rsidR="00855F6D" w:rsidRPr="006761B6" w:rsidRDefault="00855F6D" w:rsidP="006761B6">
    <w:pPr>
      <w:pStyle w:val="Footer"/>
      <w:ind w:right="1134"/>
      <w:rPr>
        <w:sz w:val="20"/>
      </w:rPr>
    </w:pPr>
  </w:p>
  <w:p w14:paraId="719D05E7" w14:textId="2D164667" w:rsidR="00855F6D" w:rsidRPr="006761B6" w:rsidRDefault="00855F6D" w:rsidP="006761B6">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19CA" w14:textId="77777777" w:rsidR="00855F6D" w:rsidRPr="000B175B" w:rsidRDefault="00855F6D" w:rsidP="00D50DC0">
      <w:pPr>
        <w:tabs>
          <w:tab w:val="right" w:pos="2155"/>
        </w:tabs>
        <w:spacing w:after="80"/>
        <w:ind w:left="680"/>
        <w:rPr>
          <w:u w:val="single"/>
        </w:rPr>
      </w:pPr>
      <w:r>
        <w:rPr>
          <w:u w:val="single"/>
        </w:rPr>
        <w:tab/>
      </w:r>
    </w:p>
  </w:footnote>
  <w:footnote w:type="continuationSeparator" w:id="0">
    <w:p w14:paraId="491AFBED" w14:textId="77777777" w:rsidR="00855F6D" w:rsidRPr="00FC68B7" w:rsidRDefault="00855F6D" w:rsidP="00D50DC0">
      <w:pPr>
        <w:tabs>
          <w:tab w:val="left" w:pos="2155"/>
        </w:tabs>
        <w:spacing w:after="80"/>
        <w:ind w:left="680"/>
        <w:rPr>
          <w:u w:val="single"/>
        </w:rPr>
      </w:pPr>
      <w:r>
        <w:rPr>
          <w:u w:val="single"/>
        </w:rPr>
        <w:tab/>
      </w:r>
    </w:p>
  </w:footnote>
  <w:footnote w:type="continuationNotice" w:id="1">
    <w:p w14:paraId="3F4E0D86" w14:textId="77777777" w:rsidR="00855F6D" w:rsidRDefault="00855F6D"/>
  </w:footnote>
  <w:footnote w:id="2">
    <w:p w14:paraId="1EDB0557" w14:textId="1E0C2311" w:rsidR="00855F6D" w:rsidRPr="003B4309" w:rsidRDefault="00855F6D" w:rsidP="00DF536C">
      <w:pPr>
        <w:pStyle w:val="FootnoteText"/>
        <w:rPr>
          <w:lang w:val="en-US"/>
        </w:rPr>
      </w:pPr>
      <w:r>
        <w:tab/>
      </w:r>
      <w:r w:rsidRPr="004D6367">
        <w:rPr>
          <w:rStyle w:val="FootnoteReference"/>
          <w:sz w:val="20"/>
          <w:vertAlign w:val="baseline"/>
        </w:rPr>
        <w:t>*</w:t>
      </w:r>
      <w:r w:rsidRPr="002E455B">
        <w:tab/>
      </w:r>
      <w:r w:rsidRPr="003B4309">
        <w:rPr>
          <w:lang w:val="en-US"/>
        </w:rPr>
        <w:t>Adopted at its 125th ses</w:t>
      </w:r>
      <w:r>
        <w:rPr>
          <w:lang w:val="en-US"/>
        </w:rPr>
        <w:t>sion (4 to 29</w:t>
      </w:r>
      <w:r w:rsidRPr="003B4309">
        <w:rPr>
          <w:vertAlign w:val="superscript"/>
          <w:lang w:val="en-US"/>
        </w:rPr>
        <w:t>th</w:t>
      </w:r>
      <w:r>
        <w:rPr>
          <w:lang w:val="en-US"/>
        </w:rPr>
        <w:t xml:space="preserve"> March 2019)</w:t>
      </w:r>
    </w:p>
  </w:footnote>
  <w:footnote w:id="3">
    <w:p w14:paraId="647D4386" w14:textId="74DB83AA" w:rsidR="00855F6D" w:rsidRPr="002E455B" w:rsidRDefault="00855F6D" w:rsidP="002E455B">
      <w:pPr>
        <w:pStyle w:val="FootnoteText"/>
      </w:pPr>
      <w:r w:rsidRPr="002E455B">
        <w:rPr>
          <w:rStyle w:val="FootnoteReference"/>
          <w:vertAlign w:val="baseline"/>
        </w:rPr>
        <w:tab/>
      </w:r>
      <w:r w:rsidRPr="004D6367">
        <w:rPr>
          <w:rStyle w:val="FootnoteReference"/>
          <w:sz w:val="20"/>
          <w:vertAlign w:val="baseline"/>
        </w:rPr>
        <w:t>**</w:t>
      </w:r>
      <w:r w:rsidRPr="002E455B">
        <w:rPr>
          <w:rStyle w:val="FootnoteReference"/>
          <w:vertAlign w:val="baseline"/>
        </w:rPr>
        <w:tab/>
      </w:r>
      <w:r w:rsidRPr="0000116C">
        <w:t xml:space="preserve">The following members </w:t>
      </w:r>
      <w:r>
        <w:t xml:space="preserve">of the Committee </w:t>
      </w:r>
      <w:r w:rsidRPr="0000116C">
        <w:t>participated in the examination of the communication:</w:t>
      </w:r>
      <w:r w:rsidRPr="003B4309">
        <w:rPr>
          <w:lang w:val="en-US"/>
        </w:rPr>
        <w:t xml:space="preserve"> </w:t>
      </w:r>
      <w:r w:rsidRPr="0084171B">
        <w:t xml:space="preserve">Tania </w:t>
      </w:r>
      <w:proofErr w:type="spellStart"/>
      <w:r w:rsidRPr="0084171B">
        <w:t>María</w:t>
      </w:r>
      <w:proofErr w:type="spellEnd"/>
      <w:r w:rsidRPr="0084171B">
        <w:t xml:space="preserve"> </w:t>
      </w:r>
      <w:proofErr w:type="spellStart"/>
      <w:r w:rsidRPr="0084171B">
        <w:t>Abdo</w:t>
      </w:r>
      <w:proofErr w:type="spellEnd"/>
      <w:r w:rsidRPr="0084171B">
        <w:t xml:space="preserve"> </w:t>
      </w:r>
      <w:proofErr w:type="spellStart"/>
      <w:r w:rsidRPr="0084171B">
        <w:t>Rocholl</w:t>
      </w:r>
      <w:proofErr w:type="spellEnd"/>
      <w:r w:rsidRPr="0084171B">
        <w:t>,</w:t>
      </w:r>
      <w:r w:rsidRPr="008E2729">
        <w:t xml:space="preserve"> </w:t>
      </w:r>
      <w:proofErr w:type="spellStart"/>
      <w:r w:rsidRPr="0087337A">
        <w:t>Yadh</w:t>
      </w:r>
      <w:proofErr w:type="spellEnd"/>
      <w:r w:rsidRPr="0087337A">
        <w:t xml:space="preserve"> Ben </w:t>
      </w:r>
      <w:proofErr w:type="spellStart"/>
      <w:r w:rsidRPr="0087337A">
        <w:t>Achour</w:t>
      </w:r>
      <w:proofErr w:type="spellEnd"/>
      <w:r>
        <w:t>,</w:t>
      </w:r>
      <w:r w:rsidRPr="0084171B">
        <w:t xml:space="preserve"> </w:t>
      </w:r>
      <w:proofErr w:type="spellStart"/>
      <w:r w:rsidRPr="0084171B">
        <w:t>Ilze</w:t>
      </w:r>
      <w:proofErr w:type="spellEnd"/>
      <w:r w:rsidRPr="0084171B">
        <w:t xml:space="preserve"> Brands </w:t>
      </w:r>
      <w:proofErr w:type="spellStart"/>
      <w:r w:rsidRPr="0084171B">
        <w:t>Kehris</w:t>
      </w:r>
      <w:proofErr w:type="spellEnd"/>
      <w:r w:rsidRPr="0084171B">
        <w:t xml:space="preserve">, </w:t>
      </w:r>
      <w:r>
        <w:t xml:space="preserve">Christopher </w:t>
      </w:r>
      <w:proofErr w:type="spellStart"/>
      <w:r>
        <w:t>Arif</w:t>
      </w:r>
      <w:proofErr w:type="spellEnd"/>
      <w:r>
        <w:t xml:space="preserve"> </w:t>
      </w:r>
      <w:proofErr w:type="spellStart"/>
      <w:r>
        <w:t>Bulkan</w:t>
      </w:r>
      <w:proofErr w:type="spellEnd"/>
      <w:r>
        <w:t xml:space="preserve">, </w:t>
      </w:r>
      <w:r w:rsidRPr="0084171B">
        <w:t xml:space="preserve">Ahmed Amin </w:t>
      </w:r>
      <w:proofErr w:type="spellStart"/>
      <w:r w:rsidRPr="0084171B">
        <w:t>Fathalla</w:t>
      </w:r>
      <w:proofErr w:type="spellEnd"/>
      <w:r w:rsidRPr="0084171B">
        <w:t xml:space="preserve">, </w:t>
      </w:r>
      <w:r>
        <w:t xml:space="preserve">Shuichi </w:t>
      </w:r>
      <w:proofErr w:type="spellStart"/>
      <w:r>
        <w:t>Furuya</w:t>
      </w:r>
      <w:proofErr w:type="spellEnd"/>
      <w:r>
        <w:t xml:space="preserve">, </w:t>
      </w:r>
      <w:proofErr w:type="spellStart"/>
      <w:r w:rsidRPr="00D23E63">
        <w:rPr>
          <w:lang w:val="en-US"/>
        </w:rPr>
        <w:t>Christo</w:t>
      </w:r>
      <w:r>
        <w:rPr>
          <w:lang w:val="en-US"/>
        </w:rPr>
        <w:t>f</w:t>
      </w:r>
      <w:proofErr w:type="spellEnd"/>
      <w:r w:rsidRPr="003B4309">
        <w:rPr>
          <w:lang w:val="en-US"/>
        </w:rPr>
        <w:t xml:space="preserve"> </w:t>
      </w:r>
      <w:proofErr w:type="spellStart"/>
      <w:r w:rsidRPr="003B4309">
        <w:rPr>
          <w:lang w:val="en-US"/>
        </w:rPr>
        <w:t>H</w:t>
      </w:r>
      <w:r>
        <w:rPr>
          <w:lang w:val="en-US"/>
        </w:rPr>
        <w:t>eyns</w:t>
      </w:r>
      <w:proofErr w:type="spellEnd"/>
      <w:r>
        <w:rPr>
          <w:lang w:val="en-US"/>
        </w:rPr>
        <w:t xml:space="preserve">, </w:t>
      </w:r>
      <w:proofErr w:type="spellStart"/>
      <w:r w:rsidRPr="0084171B">
        <w:t>Bamariam</w:t>
      </w:r>
      <w:proofErr w:type="spellEnd"/>
      <w:r w:rsidRPr="0084171B">
        <w:t xml:space="preserve"> </w:t>
      </w:r>
      <w:proofErr w:type="spellStart"/>
      <w:r w:rsidRPr="0084171B">
        <w:t>Koita</w:t>
      </w:r>
      <w:proofErr w:type="spellEnd"/>
      <w:r w:rsidRPr="0084171B">
        <w:t xml:space="preserve">, Marcia V.J. </w:t>
      </w:r>
      <w:proofErr w:type="spellStart"/>
      <w:r w:rsidRPr="0084171B">
        <w:t>Kran</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Hernán</w:t>
      </w:r>
      <w:proofErr w:type="spellEnd"/>
      <w:r>
        <w:t xml:space="preserve"> Quezada, </w:t>
      </w:r>
      <w:proofErr w:type="spellStart"/>
      <w:r>
        <w:t>Vasilka</w:t>
      </w:r>
      <w:proofErr w:type="spellEnd"/>
      <w:r>
        <w:t xml:space="preserve"> </w:t>
      </w:r>
      <w:proofErr w:type="spellStart"/>
      <w:r>
        <w:t>Sancin</w:t>
      </w:r>
      <w:proofErr w:type="spellEnd"/>
      <w:r>
        <w:t>,</w:t>
      </w:r>
      <w:r w:rsidRPr="0084171B">
        <w:t xml:space="preserve"> José Manuel Santos </w:t>
      </w:r>
      <w:proofErr w:type="spellStart"/>
      <w:r w:rsidRPr="0084171B">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w:t>
      </w:r>
      <w:r w:rsidRPr="003B4309">
        <w:rPr>
          <w:lang w:val="en-US"/>
        </w:rPr>
        <w:t>and</w:t>
      </w:r>
      <w:r>
        <w:t xml:space="preserve"> Gentian </w:t>
      </w:r>
      <w:proofErr w:type="spellStart"/>
      <w:r>
        <w:t>Zyberi</w:t>
      </w:r>
      <w:proofErr w:type="spellEnd"/>
      <w:r>
        <w:t>.</w:t>
      </w:r>
      <w:r w:rsidRPr="008E2729">
        <w:t xml:space="preserve"> </w:t>
      </w:r>
    </w:p>
  </w:footnote>
  <w:footnote w:id="4">
    <w:p w14:paraId="2A861F1F" w14:textId="70970269" w:rsidR="00D22944" w:rsidRPr="003B4309" w:rsidRDefault="00D22944">
      <w:pPr>
        <w:pStyle w:val="FootnoteText"/>
        <w:rPr>
          <w:lang w:val="en-GB"/>
        </w:rPr>
      </w:pPr>
      <w:r>
        <w:rPr>
          <w:rStyle w:val="FootnoteReference"/>
        </w:rPr>
        <w:tab/>
      </w:r>
      <w:r w:rsidRPr="003B4309">
        <w:rPr>
          <w:rStyle w:val="FootnoteReference"/>
          <w:sz w:val="20"/>
          <w:vertAlign w:val="baseline"/>
        </w:rPr>
        <w:t>***</w:t>
      </w:r>
      <w:r>
        <w:rPr>
          <w:rStyle w:val="FootnoteReference"/>
          <w:sz w:val="20"/>
          <w:vertAlign w:val="baseline"/>
        </w:rPr>
        <w:tab/>
      </w:r>
      <w:r>
        <w:t>A</w:t>
      </w:r>
      <w:r w:rsidR="00A47D02">
        <w:rPr>
          <w:lang w:val="en-GB"/>
        </w:rPr>
        <w:t>n individual</w:t>
      </w:r>
      <w:r w:rsidR="00F45B2D">
        <w:rPr>
          <w:lang w:val="en-GB"/>
        </w:rPr>
        <w:t xml:space="preserve"> </w:t>
      </w:r>
      <w:r>
        <w:t>opinion (</w:t>
      </w:r>
      <w:r w:rsidRPr="00632315">
        <w:t>concurring</w:t>
      </w:r>
      <w:r>
        <w:t>) by Committee member</w:t>
      </w:r>
      <w:r>
        <w:rPr>
          <w:lang w:val="en-GB"/>
        </w:rPr>
        <w:t xml:space="preserve"> </w:t>
      </w:r>
      <w:r w:rsidRPr="00581E1F">
        <w:t xml:space="preserve">Gentian </w:t>
      </w:r>
      <w:proofErr w:type="spellStart"/>
      <w:r w:rsidRPr="00581E1F">
        <w:t>Zyberi</w:t>
      </w:r>
      <w:proofErr w:type="spellEnd"/>
      <w:r w:rsidRPr="00581E1F">
        <w:t xml:space="preserve"> is</w:t>
      </w:r>
      <w:r>
        <w:t xml:space="preserve"> </w:t>
      </w:r>
      <w:r w:rsidRPr="00B043A4">
        <w:t xml:space="preserve">annexed to the present </w:t>
      </w:r>
      <w:r>
        <w:t>Views.</w:t>
      </w:r>
    </w:p>
  </w:footnote>
  <w:footnote w:id="5">
    <w:p w14:paraId="37E2897D" w14:textId="2F93C07B" w:rsidR="00855F6D" w:rsidRPr="002E455B" w:rsidRDefault="00855F6D" w:rsidP="002E455B">
      <w:pPr>
        <w:pStyle w:val="FootnoteText"/>
      </w:pPr>
      <w:r>
        <w:tab/>
      </w:r>
      <w:r w:rsidRPr="002E455B">
        <w:rPr>
          <w:rStyle w:val="FootnoteReference"/>
        </w:rPr>
        <w:footnoteRef/>
      </w:r>
      <w:r>
        <w:tab/>
      </w:r>
      <w:r w:rsidRPr="002E455B">
        <w:t>Article III, Section 21 of the Philippine Constitution (1987) provides that “No person shall be twice put in jeopardy of punishment for the same offense. If an act is punished by a law and an ordinance, conviction or acquittal under either shall constitute a bar to another prosecution for the same act.”</w:t>
      </w:r>
    </w:p>
  </w:footnote>
  <w:footnote w:id="6">
    <w:p w14:paraId="08C150F6" w14:textId="00959C17" w:rsidR="00855F6D" w:rsidRPr="002E455B" w:rsidRDefault="00855F6D" w:rsidP="002E455B">
      <w:pPr>
        <w:pStyle w:val="FootnoteText"/>
      </w:pPr>
      <w:r w:rsidRPr="002E455B">
        <w:tab/>
      </w:r>
      <w:r w:rsidRPr="002E455B">
        <w:rPr>
          <w:rStyle w:val="FootnoteReference"/>
        </w:rPr>
        <w:footnoteRef/>
      </w:r>
      <w:r>
        <w:tab/>
      </w:r>
      <w:r w:rsidRPr="002E455B">
        <w:t>The author cites, in this regard, article 2 (3) of the Convention against torture and other cruel, inhuman or degrading treatment or punishment, article 6 (2) of the Convention for the protection of all persons from enforced disappearance, and the Principles on the effective prevention and investigation of extra-legal, arbitrary and summary executions, recommended by Economic and Social Council resolution 1989/65, para.3.</w:t>
      </w:r>
    </w:p>
  </w:footnote>
  <w:footnote w:id="7">
    <w:p w14:paraId="20EA5EAF" w14:textId="29F8D23C" w:rsidR="00855F6D" w:rsidRPr="002E455B" w:rsidRDefault="00855F6D" w:rsidP="002E455B">
      <w:pPr>
        <w:pStyle w:val="FootnoteText"/>
      </w:pPr>
      <w:r>
        <w:tab/>
      </w:r>
      <w:r w:rsidRPr="002E455B">
        <w:rPr>
          <w:rStyle w:val="FootnoteReference"/>
        </w:rPr>
        <w:footnoteRef/>
      </w:r>
      <w:r>
        <w:tab/>
      </w:r>
      <w:r w:rsidRPr="002E455B">
        <w:t>Article 8 (1) of the Constitution establishes that “Judicial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w:t>
      </w:r>
    </w:p>
  </w:footnote>
  <w:footnote w:id="8">
    <w:p w14:paraId="5A3F25C8" w14:textId="249FD373" w:rsidR="00855F6D" w:rsidRPr="002E455B" w:rsidRDefault="00855F6D" w:rsidP="002E455B">
      <w:pPr>
        <w:pStyle w:val="FootnoteText"/>
      </w:pPr>
      <w:r>
        <w:tab/>
      </w:r>
      <w:r w:rsidRPr="002E455B">
        <w:rPr>
          <w:rStyle w:val="FootnoteReference"/>
        </w:rPr>
        <w:footnoteRef/>
      </w:r>
      <w:r>
        <w:tab/>
      </w:r>
      <w:r w:rsidRPr="002E455B">
        <w:t xml:space="preserve">Rule 65, Section 1, of the Revised Rules of Court establishes “Petition for Certiorari – When any tribunal, board or officer exercising judicial or quasi-judicial functions has acted without or in excess of its or his jurisdiction, or with grave abuse of discretion amounting to lack or excess or jurisdiction, and there is no appeal, nor any plain, speedy and adequate remedy in the ordinary course of law, a person aggrieved thereby may file a verified petition in the proper court, alleging the facts with certainty and praying that the judgment be rendered annulling or modifying the proceedings of such tribunal, board or officer (…). </w:t>
      </w:r>
    </w:p>
  </w:footnote>
  <w:footnote w:id="9">
    <w:p w14:paraId="43994B10" w14:textId="5A386EB9" w:rsidR="00855F6D" w:rsidRPr="002E455B" w:rsidRDefault="00855F6D" w:rsidP="002E455B">
      <w:pPr>
        <w:pStyle w:val="FootnoteText"/>
      </w:pPr>
      <w:r>
        <w:tab/>
      </w:r>
      <w:r w:rsidRPr="002E455B">
        <w:rPr>
          <w:rStyle w:val="FootnoteReference"/>
        </w:rPr>
        <w:footnoteRef/>
      </w:r>
      <w:r>
        <w:tab/>
      </w:r>
      <w:r w:rsidRPr="002E455B">
        <w:t xml:space="preserve">Article 2 (7) of the United Nations Charter reads: “Nothing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w:t>
      </w:r>
      <w:proofErr w:type="spellStart"/>
      <w:r w:rsidRPr="002E455B">
        <w:t>Vll</w:t>
      </w:r>
      <w:proofErr w:type="spellEnd"/>
      <w:r w:rsidRPr="002E455B">
        <w:t>.</w:t>
      </w:r>
    </w:p>
  </w:footnote>
  <w:footnote w:id="10">
    <w:p w14:paraId="6AE183BF" w14:textId="4964A7A8" w:rsidR="00855F6D" w:rsidRPr="002E455B" w:rsidRDefault="00855F6D" w:rsidP="002E455B">
      <w:pPr>
        <w:pStyle w:val="FootnoteText"/>
      </w:pPr>
      <w:r>
        <w:tab/>
      </w:r>
      <w:r w:rsidRPr="002E455B">
        <w:rPr>
          <w:rStyle w:val="FootnoteReference"/>
        </w:rPr>
        <w:footnoteRef/>
      </w:r>
      <w:r w:rsidRPr="002E455B">
        <w:tab/>
        <w:t xml:space="preserve">See for example, </w:t>
      </w:r>
      <w:proofErr w:type="spellStart"/>
      <w:r w:rsidRPr="002E455B">
        <w:t>Mahrajan</w:t>
      </w:r>
      <w:proofErr w:type="spellEnd"/>
      <w:r w:rsidRPr="002E455B">
        <w:t xml:space="preserve"> v. Nepal, para. 7.6; and communication No. 1588/2007, </w:t>
      </w:r>
      <w:proofErr w:type="spellStart"/>
      <w:r w:rsidRPr="002E455B">
        <w:t>Benaziza</w:t>
      </w:r>
      <w:proofErr w:type="spellEnd"/>
      <w:r w:rsidRPr="002E455B">
        <w:t xml:space="preserve"> v. Algeria, Views adopted on 26 July 2010, para. 8.3; and </w:t>
      </w:r>
      <w:proofErr w:type="spellStart"/>
      <w:r w:rsidRPr="002E455B">
        <w:t>Purna</w:t>
      </w:r>
      <w:proofErr w:type="spellEnd"/>
      <w:r w:rsidRPr="002E455B">
        <w:t xml:space="preserve"> Maya v Nepal (CCPR/C/119/D/2245/2013), para. 11.6.</w:t>
      </w:r>
    </w:p>
  </w:footnote>
  <w:footnote w:id="11">
    <w:p w14:paraId="47AF69B6" w14:textId="62118C94" w:rsidR="00855F6D" w:rsidRPr="00BD2E76" w:rsidRDefault="00855F6D" w:rsidP="00BD2E76">
      <w:pPr>
        <w:pStyle w:val="FootnoteText"/>
      </w:pPr>
      <w:r>
        <w:tab/>
      </w:r>
      <w:r w:rsidRPr="002E455B">
        <w:rPr>
          <w:rStyle w:val="FootnoteReference"/>
        </w:rPr>
        <w:footnoteRef/>
      </w:r>
      <w:r w:rsidRPr="002E455B">
        <w:rPr>
          <w:rStyle w:val="FootnoteReference"/>
        </w:rPr>
        <w:tab/>
      </w:r>
      <w:r w:rsidRPr="002E455B">
        <w:t xml:space="preserve">See the Basic Principles and Guidelines on the Right to a Remedy and Reparation for Victims of Gross Violations of International Human Rights Law and Serious Violations of International Humanitarian Law, adopted and proclaimed by General Assembly Resolution 16/147, of 16 December 2005, principles 18 to 23, which include restitution </w:t>
      </w:r>
      <w:proofErr w:type="spellStart"/>
      <w:r w:rsidRPr="002E455B">
        <w:t>restitution</w:t>
      </w:r>
      <w:proofErr w:type="spellEnd"/>
      <w:r w:rsidRPr="002E455B">
        <w:t>, compensation, rehabilitation, satisfaction and guarantees of non-repetition as full and effective reparation for gross violations of international human rights law.</w:t>
      </w:r>
    </w:p>
  </w:footnote>
  <w:footnote w:id="12">
    <w:p w14:paraId="2F773A65" w14:textId="45864BAB" w:rsidR="00855F6D" w:rsidRPr="002E455B" w:rsidRDefault="00855F6D" w:rsidP="002E455B">
      <w:pPr>
        <w:pStyle w:val="FootnoteText"/>
      </w:pPr>
      <w:r>
        <w:rPr>
          <w:lang w:val="en-GB"/>
        </w:rPr>
        <w:tab/>
      </w:r>
      <w:r w:rsidRPr="002E455B">
        <w:rPr>
          <w:rStyle w:val="FootnoteReference"/>
        </w:rPr>
        <w:footnoteRef/>
      </w:r>
      <w:r>
        <w:tab/>
      </w:r>
      <w:r w:rsidRPr="002E455B">
        <w:t>General comment No. 36 (2018) on article 6 of the International Covenant on Civil and Political Rights, on the right to life.</w:t>
      </w:r>
    </w:p>
  </w:footnote>
  <w:footnote w:id="13">
    <w:p w14:paraId="0C07EEEA" w14:textId="57916EC1" w:rsidR="00855F6D" w:rsidRPr="00C53722" w:rsidRDefault="00855F6D" w:rsidP="002E455B">
      <w:pPr>
        <w:pStyle w:val="FootnoteText"/>
        <w:rPr>
          <w:lang w:val="en-GB"/>
        </w:rPr>
      </w:pPr>
      <w:r>
        <w:tab/>
      </w:r>
      <w:r w:rsidRPr="002E455B">
        <w:rPr>
          <w:rStyle w:val="FootnoteReference"/>
        </w:rPr>
        <w:footnoteRef/>
      </w:r>
      <w:r w:rsidRPr="002E455B">
        <w:rPr>
          <w:rStyle w:val="FootnoteReference"/>
        </w:rPr>
        <w:t xml:space="preserve"> </w:t>
      </w:r>
      <w:r w:rsidRPr="002E455B">
        <w:rPr>
          <w:rStyle w:val="FootnoteReference"/>
        </w:rPr>
        <w:tab/>
      </w:r>
      <w:r w:rsidRPr="002E455B">
        <w:t>Ibid, para. 12</w:t>
      </w:r>
      <w:r>
        <w:rPr>
          <w:lang w:val="en-GB"/>
        </w:rPr>
        <w:t>.</w:t>
      </w:r>
    </w:p>
  </w:footnote>
  <w:footnote w:id="14">
    <w:p w14:paraId="27653FA8" w14:textId="0A863C0D" w:rsidR="00855F6D" w:rsidRPr="002E455B" w:rsidRDefault="00855F6D" w:rsidP="002E455B">
      <w:pPr>
        <w:pStyle w:val="FootnoteText"/>
      </w:pPr>
      <w:r>
        <w:tab/>
      </w:r>
      <w:r w:rsidRPr="002E455B">
        <w:rPr>
          <w:rStyle w:val="FootnoteReference"/>
        </w:rPr>
        <w:footnoteRef/>
      </w:r>
      <w:r w:rsidRPr="002E455B">
        <w:rPr>
          <w:rStyle w:val="FootnoteReference"/>
        </w:rPr>
        <w:tab/>
      </w:r>
      <w:r w:rsidRPr="002E455B">
        <w:t xml:space="preserve">See, in this regard, the Committee’s Views in </w:t>
      </w:r>
      <w:proofErr w:type="spellStart"/>
      <w:r w:rsidRPr="002E455B">
        <w:t>Mezine</w:t>
      </w:r>
      <w:proofErr w:type="spellEnd"/>
      <w:r w:rsidRPr="002E455B">
        <w:t xml:space="preserve"> v. Algeria (CCPR/C/106/D/1779/2008), para. 8.4; and </w:t>
      </w:r>
      <w:proofErr w:type="spellStart"/>
      <w:r w:rsidRPr="002E455B">
        <w:t>Bousseloub</w:t>
      </w:r>
      <w:proofErr w:type="spellEnd"/>
      <w:r w:rsidRPr="002E455B">
        <w:t xml:space="preserve"> v Algeria (CCPR/C/111/D/1974/2010), para. 7.4.</w:t>
      </w:r>
    </w:p>
  </w:footnote>
  <w:footnote w:id="15">
    <w:p w14:paraId="7247CFCB" w14:textId="422517F0" w:rsidR="00855F6D" w:rsidRPr="002E455B" w:rsidRDefault="00855F6D" w:rsidP="002E455B">
      <w:pPr>
        <w:pStyle w:val="FootnoteText"/>
      </w:pPr>
      <w:r>
        <w:tab/>
      </w:r>
      <w:r w:rsidRPr="002E455B">
        <w:rPr>
          <w:rStyle w:val="FootnoteReference"/>
        </w:rPr>
        <w:footnoteRef/>
      </w:r>
      <w:r w:rsidRPr="002E455B">
        <w:t xml:space="preserve"> </w:t>
      </w:r>
      <w:r>
        <w:tab/>
      </w:r>
      <w:r w:rsidRPr="002E455B">
        <w:t>Committee’s General Comment No. 32 on article 14: Right to equality before courts and tribunals and to a fair trial, para. 26.</w:t>
      </w:r>
    </w:p>
  </w:footnote>
  <w:footnote w:id="16">
    <w:p w14:paraId="47FB8EB0" w14:textId="7450549B" w:rsidR="00855F6D" w:rsidRPr="002E455B" w:rsidRDefault="00855F6D" w:rsidP="002E455B">
      <w:pPr>
        <w:pStyle w:val="FootnoteText"/>
      </w:pPr>
      <w:r>
        <w:tab/>
      </w:r>
      <w:r w:rsidRPr="002E455B">
        <w:rPr>
          <w:rStyle w:val="FootnoteReference"/>
        </w:rPr>
        <w:footnoteRef/>
      </w:r>
      <w:r w:rsidRPr="002E455B">
        <w:rPr>
          <w:rStyle w:val="FootnoteReference"/>
        </w:rPr>
        <w:t xml:space="preserve"> </w:t>
      </w:r>
      <w:r>
        <w:tab/>
      </w:r>
      <w:r w:rsidRPr="002E455B">
        <w:t>General comment No. 36, para. 27.</w:t>
      </w:r>
    </w:p>
  </w:footnote>
  <w:footnote w:id="17">
    <w:p w14:paraId="435D1402" w14:textId="4E700E1A" w:rsidR="00D22944" w:rsidRPr="003B4309" w:rsidRDefault="00D22944" w:rsidP="003B4309">
      <w:pPr>
        <w:pStyle w:val="FootnoteText"/>
        <w:widowControl w:val="0"/>
        <w:rPr>
          <w:lang w:val="en-GB"/>
        </w:rPr>
      </w:pPr>
      <w:r>
        <w:tab/>
      </w:r>
      <w:r>
        <w:rPr>
          <w:rStyle w:val="FootnoteReference"/>
        </w:rPr>
        <w:footnoteRef/>
      </w:r>
      <w:r>
        <w:tab/>
      </w:r>
      <w:r w:rsidRPr="00DA2338">
        <w:rPr>
          <w:lang w:val="en-US"/>
        </w:rPr>
        <w:t>General Comment No. 36 (2018) on Article 6 of the International Covenant on Civil and Political Rights, on the</w:t>
      </w:r>
      <w:r>
        <w:rPr>
          <w:lang w:val="en-US"/>
        </w:rPr>
        <w:t xml:space="preserve"> </w:t>
      </w:r>
      <w:r w:rsidRPr="00DA2338">
        <w:rPr>
          <w:lang w:val="en-US"/>
        </w:rPr>
        <w:t>Right to Life, paragraph 64</w:t>
      </w:r>
      <w:r>
        <w:rPr>
          <w:lang w:val="en-US"/>
        </w:rPr>
        <w:t xml:space="preserve"> (GC36, para. 64)</w:t>
      </w:r>
      <w:r w:rsidRPr="00DA2338">
        <w:rPr>
          <w:lang w:val="en-US"/>
        </w:rPr>
        <w:t>.</w:t>
      </w:r>
      <w:r>
        <w:rPr>
          <w:lang w:val="en-US"/>
        </w:rPr>
        <w:tab/>
      </w:r>
      <w:r>
        <w:t xml:space="preserve"> </w:t>
      </w:r>
    </w:p>
  </w:footnote>
  <w:footnote w:id="18">
    <w:p w14:paraId="737CBB0F" w14:textId="77777777" w:rsidR="00D22944" w:rsidRPr="00581E1F" w:rsidRDefault="00D22944" w:rsidP="00D22944">
      <w:pPr>
        <w:pStyle w:val="FootnoteText"/>
        <w:widowControl w:val="0"/>
        <w:rPr>
          <w:lang w:val="en-GB"/>
        </w:rPr>
      </w:pPr>
      <w:r>
        <w:tab/>
      </w:r>
      <w:r>
        <w:rPr>
          <w:rStyle w:val="FootnoteReference"/>
        </w:rPr>
        <w:footnoteRef/>
      </w:r>
      <w:r>
        <w:tab/>
      </w:r>
      <w:r w:rsidRPr="00DA2338">
        <w:rPr>
          <w:lang w:val="en-US"/>
        </w:rPr>
        <w:t>Ibid.</w:t>
      </w:r>
      <w:r>
        <w:t xml:space="preserve"> </w:t>
      </w:r>
    </w:p>
  </w:footnote>
  <w:footnote w:id="19">
    <w:p w14:paraId="132130FA" w14:textId="77777777" w:rsidR="00D22944" w:rsidRPr="00581E1F" w:rsidRDefault="00D22944" w:rsidP="00D22944">
      <w:pPr>
        <w:pStyle w:val="FootnoteText"/>
        <w:widowControl w:val="0"/>
        <w:rPr>
          <w:lang w:val="en-GB"/>
        </w:rPr>
      </w:pPr>
      <w:r>
        <w:tab/>
      </w:r>
      <w:r>
        <w:rPr>
          <w:rStyle w:val="FootnoteReference"/>
        </w:rPr>
        <w:footnoteRef/>
      </w:r>
      <w:r>
        <w:tab/>
      </w:r>
      <w:r w:rsidRPr="00DA2338">
        <w:rPr>
          <w:lang w:val="en-US"/>
        </w:rPr>
        <w:t>Ibid.</w:t>
      </w:r>
      <w:r>
        <w:t xml:space="preserve"> </w:t>
      </w:r>
    </w:p>
  </w:footnote>
  <w:footnote w:id="20">
    <w:p w14:paraId="7B60AA7A" w14:textId="77777777" w:rsidR="00D22944" w:rsidRPr="00581E1F" w:rsidRDefault="00D22944" w:rsidP="00D22944">
      <w:pPr>
        <w:pStyle w:val="FootnoteText"/>
        <w:widowControl w:val="0"/>
        <w:rPr>
          <w:lang w:val="en-GB"/>
        </w:rPr>
      </w:pPr>
      <w:r>
        <w:tab/>
      </w:r>
      <w:r>
        <w:rPr>
          <w:rStyle w:val="FootnoteReference"/>
        </w:rPr>
        <w:footnoteRef/>
      </w:r>
      <w:r>
        <w:tab/>
      </w:r>
      <w:r w:rsidRPr="00DA2338">
        <w:t xml:space="preserve">Ibid.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5A97" w14:textId="6EA10C12" w:rsidR="00855F6D" w:rsidRPr="00A36331" w:rsidRDefault="002E6586" w:rsidP="00A56813">
    <w:pPr>
      <w:pStyle w:val="Header"/>
    </w:pPr>
    <w:r w:rsidRPr="00813658">
      <w:t>Advance unedited version</w:t>
    </w:r>
    <w:r>
      <w:t xml:space="preserve"> </w:t>
    </w:r>
    <w:r w:rsidR="00855F6D">
      <w:t>CCPR/C/125/D/2536/2015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CE23" w14:textId="1681C93D" w:rsidR="00855F6D" w:rsidRPr="00A36331" w:rsidRDefault="002E6586" w:rsidP="00A84F93">
    <w:pPr>
      <w:pStyle w:val="Header"/>
      <w:jc w:val="right"/>
    </w:pPr>
    <w:r w:rsidRPr="00813658">
      <w:t>Advance unedited version</w:t>
    </w:r>
    <w:r>
      <w:t xml:space="preserve"> </w:t>
    </w:r>
    <w:r w:rsidR="00855F6D">
      <w:t>CCPR/C/125/D/2536/2015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1CD7" w14:textId="57D6AE59" w:rsidR="00A80579" w:rsidRPr="00A36331" w:rsidRDefault="00A80579" w:rsidP="00A84F93">
    <w:pPr>
      <w:pStyle w:val="Header"/>
      <w:jc w:val="right"/>
    </w:pPr>
    <w:r>
      <w:t>CCPR/C/125/D/2536/2015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3F3B" w14:textId="1FF4218A" w:rsidR="00A80579" w:rsidRDefault="00A80579">
    <w:pPr>
      <w:pStyle w:val="Header"/>
    </w:pPr>
    <w:r>
      <w:t>CCPR/C/125/2536/2015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E48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551FE"/>
    <w:multiLevelType w:val="multilevel"/>
    <w:tmpl w:val="BAE46E5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31"/>
    <w:rsid w:val="00000F66"/>
    <w:rsid w:val="000029C4"/>
    <w:rsid w:val="00004299"/>
    <w:rsid w:val="00005071"/>
    <w:rsid w:val="0001310C"/>
    <w:rsid w:val="00013F37"/>
    <w:rsid w:val="00014468"/>
    <w:rsid w:val="000153D6"/>
    <w:rsid w:val="00016140"/>
    <w:rsid w:val="00021212"/>
    <w:rsid w:val="00021E97"/>
    <w:rsid w:val="00021FFF"/>
    <w:rsid w:val="000255F2"/>
    <w:rsid w:val="00025BE1"/>
    <w:rsid w:val="000267AA"/>
    <w:rsid w:val="000319A0"/>
    <w:rsid w:val="00031A43"/>
    <w:rsid w:val="00032F3D"/>
    <w:rsid w:val="00033861"/>
    <w:rsid w:val="00035204"/>
    <w:rsid w:val="00035C20"/>
    <w:rsid w:val="00036757"/>
    <w:rsid w:val="00037198"/>
    <w:rsid w:val="000375DF"/>
    <w:rsid w:val="00037C84"/>
    <w:rsid w:val="00044EF5"/>
    <w:rsid w:val="0004614E"/>
    <w:rsid w:val="00047E23"/>
    <w:rsid w:val="0005166A"/>
    <w:rsid w:val="0005301E"/>
    <w:rsid w:val="00061163"/>
    <w:rsid w:val="000615F3"/>
    <w:rsid w:val="000619EE"/>
    <w:rsid w:val="00061D79"/>
    <w:rsid w:val="000631F8"/>
    <w:rsid w:val="000670FE"/>
    <w:rsid w:val="00067770"/>
    <w:rsid w:val="00071298"/>
    <w:rsid w:val="000725D8"/>
    <w:rsid w:val="0007333A"/>
    <w:rsid w:val="00073ACB"/>
    <w:rsid w:val="00075BCA"/>
    <w:rsid w:val="00076268"/>
    <w:rsid w:val="00076B0A"/>
    <w:rsid w:val="00076F68"/>
    <w:rsid w:val="00077B03"/>
    <w:rsid w:val="000844EE"/>
    <w:rsid w:val="00084EE7"/>
    <w:rsid w:val="000862B8"/>
    <w:rsid w:val="00086C63"/>
    <w:rsid w:val="00086CCD"/>
    <w:rsid w:val="00086CFC"/>
    <w:rsid w:val="000925EF"/>
    <w:rsid w:val="00092813"/>
    <w:rsid w:val="0009328B"/>
    <w:rsid w:val="000A512F"/>
    <w:rsid w:val="000A5ED3"/>
    <w:rsid w:val="000A734D"/>
    <w:rsid w:val="000A7943"/>
    <w:rsid w:val="000A7DD4"/>
    <w:rsid w:val="000B0626"/>
    <w:rsid w:val="000B2BA5"/>
    <w:rsid w:val="000C05FD"/>
    <w:rsid w:val="000C169C"/>
    <w:rsid w:val="000C1705"/>
    <w:rsid w:val="000C6BCB"/>
    <w:rsid w:val="000C72A4"/>
    <w:rsid w:val="000D10E3"/>
    <w:rsid w:val="000D14FE"/>
    <w:rsid w:val="000D220E"/>
    <w:rsid w:val="000D2FD3"/>
    <w:rsid w:val="000D42D9"/>
    <w:rsid w:val="000D612E"/>
    <w:rsid w:val="000D6F39"/>
    <w:rsid w:val="000E10CA"/>
    <w:rsid w:val="000E36DA"/>
    <w:rsid w:val="000E471B"/>
    <w:rsid w:val="000F08B9"/>
    <w:rsid w:val="000F487D"/>
    <w:rsid w:val="000F5B95"/>
    <w:rsid w:val="000F6323"/>
    <w:rsid w:val="000F69EF"/>
    <w:rsid w:val="00101A57"/>
    <w:rsid w:val="00102048"/>
    <w:rsid w:val="00103C25"/>
    <w:rsid w:val="001050E6"/>
    <w:rsid w:val="001062E4"/>
    <w:rsid w:val="001077AB"/>
    <w:rsid w:val="00111389"/>
    <w:rsid w:val="00112402"/>
    <w:rsid w:val="00112BF5"/>
    <w:rsid w:val="0011459C"/>
    <w:rsid w:val="001210FE"/>
    <w:rsid w:val="0012192A"/>
    <w:rsid w:val="00123596"/>
    <w:rsid w:val="001246A9"/>
    <w:rsid w:val="00131ED3"/>
    <w:rsid w:val="00132283"/>
    <w:rsid w:val="00132A27"/>
    <w:rsid w:val="001332C7"/>
    <w:rsid w:val="001339AB"/>
    <w:rsid w:val="001342AA"/>
    <w:rsid w:val="001358AC"/>
    <w:rsid w:val="00135D24"/>
    <w:rsid w:val="00146106"/>
    <w:rsid w:val="0014628F"/>
    <w:rsid w:val="001509B6"/>
    <w:rsid w:val="001547FA"/>
    <w:rsid w:val="00155D05"/>
    <w:rsid w:val="001565B5"/>
    <w:rsid w:val="00156628"/>
    <w:rsid w:val="00156DEC"/>
    <w:rsid w:val="00161CA7"/>
    <w:rsid w:val="00162892"/>
    <w:rsid w:val="00163D1C"/>
    <w:rsid w:val="00172423"/>
    <w:rsid w:val="00176E83"/>
    <w:rsid w:val="001804B1"/>
    <w:rsid w:val="0018343A"/>
    <w:rsid w:val="00184AB6"/>
    <w:rsid w:val="0019096B"/>
    <w:rsid w:val="00190C80"/>
    <w:rsid w:val="0019183B"/>
    <w:rsid w:val="00192301"/>
    <w:rsid w:val="00192D54"/>
    <w:rsid w:val="00195082"/>
    <w:rsid w:val="001950E7"/>
    <w:rsid w:val="00195BD8"/>
    <w:rsid w:val="00196A6A"/>
    <w:rsid w:val="001976E8"/>
    <w:rsid w:val="001978E0"/>
    <w:rsid w:val="00197C8A"/>
    <w:rsid w:val="001A0941"/>
    <w:rsid w:val="001A1EB2"/>
    <w:rsid w:val="001A21A8"/>
    <w:rsid w:val="001A2773"/>
    <w:rsid w:val="001A309D"/>
    <w:rsid w:val="001A3A83"/>
    <w:rsid w:val="001A5AAD"/>
    <w:rsid w:val="001B0F66"/>
    <w:rsid w:val="001B1409"/>
    <w:rsid w:val="001B1480"/>
    <w:rsid w:val="001B2057"/>
    <w:rsid w:val="001B2C73"/>
    <w:rsid w:val="001B3053"/>
    <w:rsid w:val="001B3BEA"/>
    <w:rsid w:val="001B5AB4"/>
    <w:rsid w:val="001C0687"/>
    <w:rsid w:val="001C0989"/>
    <w:rsid w:val="001C0ABA"/>
    <w:rsid w:val="001C1927"/>
    <w:rsid w:val="001C4EF8"/>
    <w:rsid w:val="001C56A0"/>
    <w:rsid w:val="001C5F31"/>
    <w:rsid w:val="001C691A"/>
    <w:rsid w:val="001C6CE0"/>
    <w:rsid w:val="001D2754"/>
    <w:rsid w:val="001D4C37"/>
    <w:rsid w:val="001E3F3B"/>
    <w:rsid w:val="001E40C6"/>
    <w:rsid w:val="001E5AAD"/>
    <w:rsid w:val="001F1D0D"/>
    <w:rsid w:val="001F52C8"/>
    <w:rsid w:val="001F59C0"/>
    <w:rsid w:val="001F6612"/>
    <w:rsid w:val="0020070A"/>
    <w:rsid w:val="00200BE0"/>
    <w:rsid w:val="00201603"/>
    <w:rsid w:val="0020407E"/>
    <w:rsid w:val="002068BF"/>
    <w:rsid w:val="00207DBA"/>
    <w:rsid w:val="0021317C"/>
    <w:rsid w:val="002166FA"/>
    <w:rsid w:val="0021799E"/>
    <w:rsid w:val="00220EAD"/>
    <w:rsid w:val="00226025"/>
    <w:rsid w:val="00227585"/>
    <w:rsid w:val="00231173"/>
    <w:rsid w:val="002324CD"/>
    <w:rsid w:val="002340A8"/>
    <w:rsid w:val="00234D1A"/>
    <w:rsid w:val="00234E4F"/>
    <w:rsid w:val="002374A5"/>
    <w:rsid w:val="002379CF"/>
    <w:rsid w:val="00240EA6"/>
    <w:rsid w:val="00241342"/>
    <w:rsid w:val="00242D47"/>
    <w:rsid w:val="002436AE"/>
    <w:rsid w:val="00243A15"/>
    <w:rsid w:val="002445FE"/>
    <w:rsid w:val="00244FCD"/>
    <w:rsid w:val="0024587B"/>
    <w:rsid w:val="00245926"/>
    <w:rsid w:val="0025188F"/>
    <w:rsid w:val="0025189A"/>
    <w:rsid w:val="00255E44"/>
    <w:rsid w:val="0025757F"/>
    <w:rsid w:val="00265C26"/>
    <w:rsid w:val="002665C2"/>
    <w:rsid w:val="002673F2"/>
    <w:rsid w:val="002700FE"/>
    <w:rsid w:val="00272835"/>
    <w:rsid w:val="00272C08"/>
    <w:rsid w:val="0027551E"/>
    <w:rsid w:val="002755C7"/>
    <w:rsid w:val="002768C7"/>
    <w:rsid w:val="00281913"/>
    <w:rsid w:val="00281B70"/>
    <w:rsid w:val="00283802"/>
    <w:rsid w:val="00284C3A"/>
    <w:rsid w:val="002870A7"/>
    <w:rsid w:val="0029279D"/>
    <w:rsid w:val="002939F6"/>
    <w:rsid w:val="00294A08"/>
    <w:rsid w:val="00294B5E"/>
    <w:rsid w:val="0029626E"/>
    <w:rsid w:val="00296626"/>
    <w:rsid w:val="00297205"/>
    <w:rsid w:val="002A0E3F"/>
    <w:rsid w:val="002A16BE"/>
    <w:rsid w:val="002A3240"/>
    <w:rsid w:val="002A41B2"/>
    <w:rsid w:val="002A55B7"/>
    <w:rsid w:val="002A7FEF"/>
    <w:rsid w:val="002B050F"/>
    <w:rsid w:val="002B2302"/>
    <w:rsid w:val="002B2A58"/>
    <w:rsid w:val="002B46CF"/>
    <w:rsid w:val="002B5FDB"/>
    <w:rsid w:val="002B60C7"/>
    <w:rsid w:val="002B7F10"/>
    <w:rsid w:val="002C0B81"/>
    <w:rsid w:val="002C416D"/>
    <w:rsid w:val="002C50CF"/>
    <w:rsid w:val="002C7A82"/>
    <w:rsid w:val="002D05AD"/>
    <w:rsid w:val="002D0721"/>
    <w:rsid w:val="002D24CD"/>
    <w:rsid w:val="002D408C"/>
    <w:rsid w:val="002D49B8"/>
    <w:rsid w:val="002D5EAE"/>
    <w:rsid w:val="002D7AB5"/>
    <w:rsid w:val="002E07C5"/>
    <w:rsid w:val="002E3709"/>
    <w:rsid w:val="002E455B"/>
    <w:rsid w:val="002E49D4"/>
    <w:rsid w:val="002E4B1A"/>
    <w:rsid w:val="002E4F7B"/>
    <w:rsid w:val="002E60C2"/>
    <w:rsid w:val="002E6586"/>
    <w:rsid w:val="002E6F9B"/>
    <w:rsid w:val="002E7398"/>
    <w:rsid w:val="002F0E18"/>
    <w:rsid w:val="002F0E30"/>
    <w:rsid w:val="002F483E"/>
    <w:rsid w:val="002F6E7E"/>
    <w:rsid w:val="00301068"/>
    <w:rsid w:val="00301E26"/>
    <w:rsid w:val="00301FC2"/>
    <w:rsid w:val="0030231B"/>
    <w:rsid w:val="00302511"/>
    <w:rsid w:val="0030266D"/>
    <w:rsid w:val="00303760"/>
    <w:rsid w:val="00303DA9"/>
    <w:rsid w:val="00305EA7"/>
    <w:rsid w:val="003077D7"/>
    <w:rsid w:val="00307A03"/>
    <w:rsid w:val="00307E7F"/>
    <w:rsid w:val="003102BD"/>
    <w:rsid w:val="00313EF5"/>
    <w:rsid w:val="00314C47"/>
    <w:rsid w:val="00315B7C"/>
    <w:rsid w:val="00316428"/>
    <w:rsid w:val="00321175"/>
    <w:rsid w:val="0032177E"/>
    <w:rsid w:val="00322376"/>
    <w:rsid w:val="003228B1"/>
    <w:rsid w:val="00322C8E"/>
    <w:rsid w:val="003261C9"/>
    <w:rsid w:val="00327FC7"/>
    <w:rsid w:val="00327FFE"/>
    <w:rsid w:val="0033120A"/>
    <w:rsid w:val="00331A72"/>
    <w:rsid w:val="00331EC5"/>
    <w:rsid w:val="00333505"/>
    <w:rsid w:val="00335BB0"/>
    <w:rsid w:val="0033676D"/>
    <w:rsid w:val="00336BD9"/>
    <w:rsid w:val="003401CC"/>
    <w:rsid w:val="00340278"/>
    <w:rsid w:val="00344DB0"/>
    <w:rsid w:val="00346E25"/>
    <w:rsid w:val="0034702B"/>
    <w:rsid w:val="0035163B"/>
    <w:rsid w:val="003544A4"/>
    <w:rsid w:val="003562D0"/>
    <w:rsid w:val="00356AB8"/>
    <w:rsid w:val="003603EE"/>
    <w:rsid w:val="003615B2"/>
    <w:rsid w:val="00363228"/>
    <w:rsid w:val="00363BDC"/>
    <w:rsid w:val="003647A3"/>
    <w:rsid w:val="003672B8"/>
    <w:rsid w:val="003701B3"/>
    <w:rsid w:val="003715BF"/>
    <w:rsid w:val="0037397A"/>
    <w:rsid w:val="003742DB"/>
    <w:rsid w:val="003744D8"/>
    <w:rsid w:val="00374912"/>
    <w:rsid w:val="00374B2F"/>
    <w:rsid w:val="00375433"/>
    <w:rsid w:val="00375572"/>
    <w:rsid w:val="00383ED1"/>
    <w:rsid w:val="00385997"/>
    <w:rsid w:val="003900AA"/>
    <w:rsid w:val="00391FE8"/>
    <w:rsid w:val="003932C0"/>
    <w:rsid w:val="003935B8"/>
    <w:rsid w:val="00396240"/>
    <w:rsid w:val="003A2199"/>
    <w:rsid w:val="003A282E"/>
    <w:rsid w:val="003A46D3"/>
    <w:rsid w:val="003A5280"/>
    <w:rsid w:val="003A60C9"/>
    <w:rsid w:val="003A648E"/>
    <w:rsid w:val="003A6FF9"/>
    <w:rsid w:val="003B12C6"/>
    <w:rsid w:val="003B1C1C"/>
    <w:rsid w:val="003B3BEF"/>
    <w:rsid w:val="003B4309"/>
    <w:rsid w:val="003B5874"/>
    <w:rsid w:val="003B58D3"/>
    <w:rsid w:val="003B6434"/>
    <w:rsid w:val="003B72C3"/>
    <w:rsid w:val="003B72EB"/>
    <w:rsid w:val="003C12E0"/>
    <w:rsid w:val="003C3E35"/>
    <w:rsid w:val="003C4B8C"/>
    <w:rsid w:val="003C6994"/>
    <w:rsid w:val="003C7C9D"/>
    <w:rsid w:val="003D0363"/>
    <w:rsid w:val="003D15E4"/>
    <w:rsid w:val="003D16A2"/>
    <w:rsid w:val="003D5E6A"/>
    <w:rsid w:val="003D60C4"/>
    <w:rsid w:val="003D626B"/>
    <w:rsid w:val="003E40C9"/>
    <w:rsid w:val="003E59C7"/>
    <w:rsid w:val="003E5CAE"/>
    <w:rsid w:val="003F065D"/>
    <w:rsid w:val="003F2618"/>
    <w:rsid w:val="003F2AC0"/>
    <w:rsid w:val="003F35A8"/>
    <w:rsid w:val="003F3C74"/>
    <w:rsid w:val="003F4871"/>
    <w:rsid w:val="003F4B02"/>
    <w:rsid w:val="003F62D2"/>
    <w:rsid w:val="003F68CD"/>
    <w:rsid w:val="003F75E9"/>
    <w:rsid w:val="00401032"/>
    <w:rsid w:val="00401A4F"/>
    <w:rsid w:val="00402E31"/>
    <w:rsid w:val="00403567"/>
    <w:rsid w:val="00403EFD"/>
    <w:rsid w:val="004042F9"/>
    <w:rsid w:val="004066D4"/>
    <w:rsid w:val="004112A2"/>
    <w:rsid w:val="0041158A"/>
    <w:rsid w:val="00411E30"/>
    <w:rsid w:val="00413D39"/>
    <w:rsid w:val="00415DED"/>
    <w:rsid w:val="004217AB"/>
    <w:rsid w:val="00422502"/>
    <w:rsid w:val="00422B1A"/>
    <w:rsid w:val="00423763"/>
    <w:rsid w:val="00424915"/>
    <w:rsid w:val="00425FB4"/>
    <w:rsid w:val="00430FB9"/>
    <w:rsid w:val="00435868"/>
    <w:rsid w:val="0044007F"/>
    <w:rsid w:val="0044023A"/>
    <w:rsid w:val="0044160F"/>
    <w:rsid w:val="004429C3"/>
    <w:rsid w:val="00443978"/>
    <w:rsid w:val="00443B06"/>
    <w:rsid w:val="00444DE1"/>
    <w:rsid w:val="00445574"/>
    <w:rsid w:val="004458A5"/>
    <w:rsid w:val="0044654B"/>
    <w:rsid w:val="00451536"/>
    <w:rsid w:val="004538EA"/>
    <w:rsid w:val="004557CA"/>
    <w:rsid w:val="00455D07"/>
    <w:rsid w:val="00456502"/>
    <w:rsid w:val="00457AE8"/>
    <w:rsid w:val="00460590"/>
    <w:rsid w:val="00461DE9"/>
    <w:rsid w:val="00463FBD"/>
    <w:rsid w:val="0046697A"/>
    <w:rsid w:val="004728D0"/>
    <w:rsid w:val="00474FF5"/>
    <w:rsid w:val="00475DC9"/>
    <w:rsid w:val="004801D8"/>
    <w:rsid w:val="0048285B"/>
    <w:rsid w:val="0048311F"/>
    <w:rsid w:val="0048450C"/>
    <w:rsid w:val="00485249"/>
    <w:rsid w:val="004867BE"/>
    <w:rsid w:val="00486C15"/>
    <w:rsid w:val="004874BB"/>
    <w:rsid w:val="00487DE1"/>
    <w:rsid w:val="0049224C"/>
    <w:rsid w:val="00492BFD"/>
    <w:rsid w:val="00493249"/>
    <w:rsid w:val="00493D5B"/>
    <w:rsid w:val="004945DB"/>
    <w:rsid w:val="00496614"/>
    <w:rsid w:val="00496EC1"/>
    <w:rsid w:val="00497A72"/>
    <w:rsid w:val="00497AB4"/>
    <w:rsid w:val="004A00BF"/>
    <w:rsid w:val="004A0C7B"/>
    <w:rsid w:val="004A3AE0"/>
    <w:rsid w:val="004A458F"/>
    <w:rsid w:val="004A7722"/>
    <w:rsid w:val="004B02CF"/>
    <w:rsid w:val="004B1F91"/>
    <w:rsid w:val="004B2CAA"/>
    <w:rsid w:val="004B3403"/>
    <w:rsid w:val="004B4068"/>
    <w:rsid w:val="004B4537"/>
    <w:rsid w:val="004B5DDB"/>
    <w:rsid w:val="004C018A"/>
    <w:rsid w:val="004C0C4F"/>
    <w:rsid w:val="004C44E2"/>
    <w:rsid w:val="004C4E87"/>
    <w:rsid w:val="004C4E8B"/>
    <w:rsid w:val="004C5F60"/>
    <w:rsid w:val="004C6A49"/>
    <w:rsid w:val="004C6CB6"/>
    <w:rsid w:val="004C6F72"/>
    <w:rsid w:val="004C7013"/>
    <w:rsid w:val="004C781E"/>
    <w:rsid w:val="004C7D7A"/>
    <w:rsid w:val="004D23F6"/>
    <w:rsid w:val="004D3239"/>
    <w:rsid w:val="004D4F7D"/>
    <w:rsid w:val="004D6367"/>
    <w:rsid w:val="004D684B"/>
    <w:rsid w:val="004D6C11"/>
    <w:rsid w:val="004E0B22"/>
    <w:rsid w:val="004E3234"/>
    <w:rsid w:val="004E3D4B"/>
    <w:rsid w:val="004F09C1"/>
    <w:rsid w:val="004F2447"/>
    <w:rsid w:val="004F57D6"/>
    <w:rsid w:val="004F61B4"/>
    <w:rsid w:val="004F79C8"/>
    <w:rsid w:val="00500538"/>
    <w:rsid w:val="00502A75"/>
    <w:rsid w:val="00503452"/>
    <w:rsid w:val="005039C9"/>
    <w:rsid w:val="00503CBF"/>
    <w:rsid w:val="00505BC2"/>
    <w:rsid w:val="00505EC7"/>
    <w:rsid w:val="00511A9A"/>
    <w:rsid w:val="00513F1A"/>
    <w:rsid w:val="0051794F"/>
    <w:rsid w:val="00520F6E"/>
    <w:rsid w:val="00526937"/>
    <w:rsid w:val="00527862"/>
    <w:rsid w:val="00530B9A"/>
    <w:rsid w:val="0053314C"/>
    <w:rsid w:val="00533F3B"/>
    <w:rsid w:val="00534712"/>
    <w:rsid w:val="00534937"/>
    <w:rsid w:val="00534A63"/>
    <w:rsid w:val="00534ECC"/>
    <w:rsid w:val="00537AA9"/>
    <w:rsid w:val="00537ABD"/>
    <w:rsid w:val="00540003"/>
    <w:rsid w:val="0054063B"/>
    <w:rsid w:val="005419AD"/>
    <w:rsid w:val="005430CB"/>
    <w:rsid w:val="00544A58"/>
    <w:rsid w:val="00544CFA"/>
    <w:rsid w:val="005477F1"/>
    <w:rsid w:val="00550EE7"/>
    <w:rsid w:val="00560DA0"/>
    <w:rsid w:val="00561148"/>
    <w:rsid w:val="00565C2B"/>
    <w:rsid w:val="00565F66"/>
    <w:rsid w:val="00566291"/>
    <w:rsid w:val="005672DE"/>
    <w:rsid w:val="00572472"/>
    <w:rsid w:val="00572CA2"/>
    <w:rsid w:val="005732DF"/>
    <w:rsid w:val="005740BE"/>
    <w:rsid w:val="00574A6B"/>
    <w:rsid w:val="00574EAE"/>
    <w:rsid w:val="00575D03"/>
    <w:rsid w:val="00576A45"/>
    <w:rsid w:val="0058029F"/>
    <w:rsid w:val="0058069C"/>
    <w:rsid w:val="00586957"/>
    <w:rsid w:val="00590963"/>
    <w:rsid w:val="005917B5"/>
    <w:rsid w:val="005917FD"/>
    <w:rsid w:val="005954B3"/>
    <w:rsid w:val="00596307"/>
    <w:rsid w:val="005970FB"/>
    <w:rsid w:val="00597508"/>
    <w:rsid w:val="005A2C84"/>
    <w:rsid w:val="005A3CCF"/>
    <w:rsid w:val="005A7B07"/>
    <w:rsid w:val="005A7F6D"/>
    <w:rsid w:val="005B4F2E"/>
    <w:rsid w:val="005B7D9F"/>
    <w:rsid w:val="005C015E"/>
    <w:rsid w:val="005C23FC"/>
    <w:rsid w:val="005C25E6"/>
    <w:rsid w:val="005C269D"/>
    <w:rsid w:val="005C3685"/>
    <w:rsid w:val="005C5A73"/>
    <w:rsid w:val="005D1DA1"/>
    <w:rsid w:val="005D376B"/>
    <w:rsid w:val="005D3F12"/>
    <w:rsid w:val="005D42C5"/>
    <w:rsid w:val="005D6A1A"/>
    <w:rsid w:val="005D780E"/>
    <w:rsid w:val="005D7F92"/>
    <w:rsid w:val="005E0518"/>
    <w:rsid w:val="005E07A5"/>
    <w:rsid w:val="005E27A8"/>
    <w:rsid w:val="005E5193"/>
    <w:rsid w:val="005E5449"/>
    <w:rsid w:val="005E5687"/>
    <w:rsid w:val="005E7556"/>
    <w:rsid w:val="005F1066"/>
    <w:rsid w:val="005F314B"/>
    <w:rsid w:val="005F39F4"/>
    <w:rsid w:val="005F3FE0"/>
    <w:rsid w:val="005F4A24"/>
    <w:rsid w:val="005F57C2"/>
    <w:rsid w:val="005F7B30"/>
    <w:rsid w:val="005F7C25"/>
    <w:rsid w:val="00600110"/>
    <w:rsid w:val="00601EB9"/>
    <w:rsid w:val="006036E9"/>
    <w:rsid w:val="00603A30"/>
    <w:rsid w:val="00605EE4"/>
    <w:rsid w:val="006144F8"/>
    <w:rsid w:val="00614C60"/>
    <w:rsid w:val="00615C7E"/>
    <w:rsid w:val="00615E36"/>
    <w:rsid w:val="006232AC"/>
    <w:rsid w:val="006252E5"/>
    <w:rsid w:val="00625904"/>
    <w:rsid w:val="00626409"/>
    <w:rsid w:val="00627195"/>
    <w:rsid w:val="00630636"/>
    <w:rsid w:val="00630A76"/>
    <w:rsid w:val="00632F83"/>
    <w:rsid w:val="00634548"/>
    <w:rsid w:val="0063456C"/>
    <w:rsid w:val="0063565A"/>
    <w:rsid w:val="00635665"/>
    <w:rsid w:val="006365EE"/>
    <w:rsid w:val="0063689D"/>
    <w:rsid w:val="00642013"/>
    <w:rsid w:val="006468D0"/>
    <w:rsid w:val="006476B6"/>
    <w:rsid w:val="00650910"/>
    <w:rsid w:val="00653A61"/>
    <w:rsid w:val="00655051"/>
    <w:rsid w:val="006557D7"/>
    <w:rsid w:val="006566CD"/>
    <w:rsid w:val="0066357B"/>
    <w:rsid w:val="00666DFA"/>
    <w:rsid w:val="006709C3"/>
    <w:rsid w:val="0067145C"/>
    <w:rsid w:val="00671544"/>
    <w:rsid w:val="00673704"/>
    <w:rsid w:val="00673802"/>
    <w:rsid w:val="00674ABF"/>
    <w:rsid w:val="006761B6"/>
    <w:rsid w:val="00677FC4"/>
    <w:rsid w:val="006801DE"/>
    <w:rsid w:val="00680EAA"/>
    <w:rsid w:val="00681072"/>
    <w:rsid w:val="0068136F"/>
    <w:rsid w:val="00682D0A"/>
    <w:rsid w:val="006853F8"/>
    <w:rsid w:val="00685556"/>
    <w:rsid w:val="00686C54"/>
    <w:rsid w:val="0069076E"/>
    <w:rsid w:val="00690DE7"/>
    <w:rsid w:val="00693293"/>
    <w:rsid w:val="00693D00"/>
    <w:rsid w:val="00693D5D"/>
    <w:rsid w:val="006971AA"/>
    <w:rsid w:val="00697441"/>
    <w:rsid w:val="00697C04"/>
    <w:rsid w:val="006A15B6"/>
    <w:rsid w:val="006B2C7A"/>
    <w:rsid w:val="006B417C"/>
    <w:rsid w:val="006B4DFD"/>
    <w:rsid w:val="006B5425"/>
    <w:rsid w:val="006B5487"/>
    <w:rsid w:val="006B60AE"/>
    <w:rsid w:val="006B63C0"/>
    <w:rsid w:val="006B68C8"/>
    <w:rsid w:val="006B77FD"/>
    <w:rsid w:val="006C1F0F"/>
    <w:rsid w:val="006C783B"/>
    <w:rsid w:val="006D0A41"/>
    <w:rsid w:val="006D21A9"/>
    <w:rsid w:val="006D3307"/>
    <w:rsid w:val="006E17EA"/>
    <w:rsid w:val="006E1DD0"/>
    <w:rsid w:val="006E64EC"/>
    <w:rsid w:val="006F43FA"/>
    <w:rsid w:val="0070099E"/>
    <w:rsid w:val="0070136F"/>
    <w:rsid w:val="00702F4D"/>
    <w:rsid w:val="007034EB"/>
    <w:rsid w:val="00704287"/>
    <w:rsid w:val="00704DF0"/>
    <w:rsid w:val="00705CAE"/>
    <w:rsid w:val="007063CC"/>
    <w:rsid w:val="00707F58"/>
    <w:rsid w:val="007106DA"/>
    <w:rsid w:val="0071169C"/>
    <w:rsid w:val="00715264"/>
    <w:rsid w:val="00715BC7"/>
    <w:rsid w:val="007174E2"/>
    <w:rsid w:val="00717CE9"/>
    <w:rsid w:val="007218BE"/>
    <w:rsid w:val="00723DE3"/>
    <w:rsid w:val="0072419E"/>
    <w:rsid w:val="0072496B"/>
    <w:rsid w:val="007339E4"/>
    <w:rsid w:val="00733FA7"/>
    <w:rsid w:val="007341D3"/>
    <w:rsid w:val="007459DC"/>
    <w:rsid w:val="00751498"/>
    <w:rsid w:val="00751BC1"/>
    <w:rsid w:val="00753353"/>
    <w:rsid w:val="00753631"/>
    <w:rsid w:val="0075697D"/>
    <w:rsid w:val="007576DB"/>
    <w:rsid w:val="00757A46"/>
    <w:rsid w:val="00757FB8"/>
    <w:rsid w:val="0076381B"/>
    <w:rsid w:val="0076559E"/>
    <w:rsid w:val="00765DEE"/>
    <w:rsid w:val="007665F4"/>
    <w:rsid w:val="007673AA"/>
    <w:rsid w:val="00771636"/>
    <w:rsid w:val="0077207D"/>
    <w:rsid w:val="00772204"/>
    <w:rsid w:val="00774DF3"/>
    <w:rsid w:val="00776CA2"/>
    <w:rsid w:val="00780DE9"/>
    <w:rsid w:val="0078172F"/>
    <w:rsid w:val="00783896"/>
    <w:rsid w:val="00783EA9"/>
    <w:rsid w:val="007841E3"/>
    <w:rsid w:val="0078528A"/>
    <w:rsid w:val="007931BF"/>
    <w:rsid w:val="0079402E"/>
    <w:rsid w:val="007948E1"/>
    <w:rsid w:val="00796D07"/>
    <w:rsid w:val="007A04BF"/>
    <w:rsid w:val="007A060A"/>
    <w:rsid w:val="007A7FA3"/>
    <w:rsid w:val="007B203E"/>
    <w:rsid w:val="007B2A84"/>
    <w:rsid w:val="007B3AD4"/>
    <w:rsid w:val="007B4FF6"/>
    <w:rsid w:val="007B52AD"/>
    <w:rsid w:val="007B5C28"/>
    <w:rsid w:val="007B61E5"/>
    <w:rsid w:val="007B6608"/>
    <w:rsid w:val="007C0067"/>
    <w:rsid w:val="007C040D"/>
    <w:rsid w:val="007C0AF8"/>
    <w:rsid w:val="007C57F0"/>
    <w:rsid w:val="007C7057"/>
    <w:rsid w:val="007D2305"/>
    <w:rsid w:val="007D2F9E"/>
    <w:rsid w:val="007D4BED"/>
    <w:rsid w:val="007D5256"/>
    <w:rsid w:val="007E13CA"/>
    <w:rsid w:val="007E1992"/>
    <w:rsid w:val="007E2F13"/>
    <w:rsid w:val="007E33AA"/>
    <w:rsid w:val="007E35AD"/>
    <w:rsid w:val="007E4108"/>
    <w:rsid w:val="007E6C58"/>
    <w:rsid w:val="007E7128"/>
    <w:rsid w:val="007F04FB"/>
    <w:rsid w:val="007F0705"/>
    <w:rsid w:val="007F1CDC"/>
    <w:rsid w:val="007F1E91"/>
    <w:rsid w:val="007F64A3"/>
    <w:rsid w:val="007F66A3"/>
    <w:rsid w:val="0080079A"/>
    <w:rsid w:val="00800F5A"/>
    <w:rsid w:val="00801401"/>
    <w:rsid w:val="008129F9"/>
    <w:rsid w:val="00813E61"/>
    <w:rsid w:val="00816692"/>
    <w:rsid w:val="008203C3"/>
    <w:rsid w:val="00832E5B"/>
    <w:rsid w:val="008351FF"/>
    <w:rsid w:val="00836880"/>
    <w:rsid w:val="00837002"/>
    <w:rsid w:val="00837541"/>
    <w:rsid w:val="0083771B"/>
    <w:rsid w:val="00844EAC"/>
    <w:rsid w:val="0084659C"/>
    <w:rsid w:val="00850C8A"/>
    <w:rsid w:val="0085159B"/>
    <w:rsid w:val="008517BE"/>
    <w:rsid w:val="0085387A"/>
    <w:rsid w:val="00853EF9"/>
    <w:rsid w:val="00855F6D"/>
    <w:rsid w:val="00861188"/>
    <w:rsid w:val="00863043"/>
    <w:rsid w:val="008659E7"/>
    <w:rsid w:val="00865AFF"/>
    <w:rsid w:val="008667DD"/>
    <w:rsid w:val="00873FA2"/>
    <w:rsid w:val="0087474B"/>
    <w:rsid w:val="0087676E"/>
    <w:rsid w:val="008778A7"/>
    <w:rsid w:val="00881ECB"/>
    <w:rsid w:val="0088279C"/>
    <w:rsid w:val="008832D1"/>
    <w:rsid w:val="00883DEA"/>
    <w:rsid w:val="008904EC"/>
    <w:rsid w:val="008906EA"/>
    <w:rsid w:val="00890AD2"/>
    <w:rsid w:val="00890AE9"/>
    <w:rsid w:val="00892169"/>
    <w:rsid w:val="00892F6D"/>
    <w:rsid w:val="00894103"/>
    <w:rsid w:val="00894FA9"/>
    <w:rsid w:val="00897258"/>
    <w:rsid w:val="008A08EA"/>
    <w:rsid w:val="008A13DC"/>
    <w:rsid w:val="008A1789"/>
    <w:rsid w:val="008A2B4C"/>
    <w:rsid w:val="008A3827"/>
    <w:rsid w:val="008A3FF1"/>
    <w:rsid w:val="008A5561"/>
    <w:rsid w:val="008B043D"/>
    <w:rsid w:val="008B0E08"/>
    <w:rsid w:val="008B55CC"/>
    <w:rsid w:val="008B7B11"/>
    <w:rsid w:val="008B7C36"/>
    <w:rsid w:val="008C0CAE"/>
    <w:rsid w:val="008C115A"/>
    <w:rsid w:val="008C1C72"/>
    <w:rsid w:val="008C2A44"/>
    <w:rsid w:val="008C4D4E"/>
    <w:rsid w:val="008D0614"/>
    <w:rsid w:val="008D0F50"/>
    <w:rsid w:val="008D1903"/>
    <w:rsid w:val="008D2ED9"/>
    <w:rsid w:val="008D57EA"/>
    <w:rsid w:val="008D5B25"/>
    <w:rsid w:val="008D652E"/>
    <w:rsid w:val="008E089F"/>
    <w:rsid w:val="008E2A38"/>
    <w:rsid w:val="008E3950"/>
    <w:rsid w:val="008E40A6"/>
    <w:rsid w:val="008E4356"/>
    <w:rsid w:val="008E56F0"/>
    <w:rsid w:val="008E57E8"/>
    <w:rsid w:val="008E5B10"/>
    <w:rsid w:val="008E5D37"/>
    <w:rsid w:val="008F15B8"/>
    <w:rsid w:val="008F171D"/>
    <w:rsid w:val="008F22D3"/>
    <w:rsid w:val="008F6C1C"/>
    <w:rsid w:val="00902A46"/>
    <w:rsid w:val="009035B7"/>
    <w:rsid w:val="00903C33"/>
    <w:rsid w:val="00904B06"/>
    <w:rsid w:val="00906A15"/>
    <w:rsid w:val="0091008A"/>
    <w:rsid w:val="00912178"/>
    <w:rsid w:val="00912DB0"/>
    <w:rsid w:val="00912E23"/>
    <w:rsid w:val="009136F6"/>
    <w:rsid w:val="00914421"/>
    <w:rsid w:val="0091573D"/>
    <w:rsid w:val="00915DE0"/>
    <w:rsid w:val="00916C24"/>
    <w:rsid w:val="00921B82"/>
    <w:rsid w:val="00925182"/>
    <w:rsid w:val="00925C71"/>
    <w:rsid w:val="00927527"/>
    <w:rsid w:val="00930BF1"/>
    <w:rsid w:val="009325A3"/>
    <w:rsid w:val="0093401C"/>
    <w:rsid w:val="0093631F"/>
    <w:rsid w:val="00936DD9"/>
    <w:rsid w:val="0094139B"/>
    <w:rsid w:val="00946310"/>
    <w:rsid w:val="009466AD"/>
    <w:rsid w:val="00947294"/>
    <w:rsid w:val="009504F9"/>
    <w:rsid w:val="00951183"/>
    <w:rsid w:val="0095204E"/>
    <w:rsid w:val="00954E90"/>
    <w:rsid w:val="00955DCD"/>
    <w:rsid w:val="00955F34"/>
    <w:rsid w:val="00960575"/>
    <w:rsid w:val="009628B2"/>
    <w:rsid w:val="00962ADA"/>
    <w:rsid w:val="00962EB4"/>
    <w:rsid w:val="0096463F"/>
    <w:rsid w:val="00964824"/>
    <w:rsid w:val="00965F4B"/>
    <w:rsid w:val="00966CA3"/>
    <w:rsid w:val="00967063"/>
    <w:rsid w:val="00972D2A"/>
    <w:rsid w:val="009730C0"/>
    <w:rsid w:val="00973D98"/>
    <w:rsid w:val="00976A4B"/>
    <w:rsid w:val="00980AA0"/>
    <w:rsid w:val="009822BF"/>
    <w:rsid w:val="00985885"/>
    <w:rsid w:val="00991DA9"/>
    <w:rsid w:val="00992C3A"/>
    <w:rsid w:val="00993E95"/>
    <w:rsid w:val="00996C92"/>
    <w:rsid w:val="009A0581"/>
    <w:rsid w:val="009A4B13"/>
    <w:rsid w:val="009A5A62"/>
    <w:rsid w:val="009B04E6"/>
    <w:rsid w:val="009B16EF"/>
    <w:rsid w:val="009B32B3"/>
    <w:rsid w:val="009B49D3"/>
    <w:rsid w:val="009B55B1"/>
    <w:rsid w:val="009C09B0"/>
    <w:rsid w:val="009C12FD"/>
    <w:rsid w:val="009C1BC6"/>
    <w:rsid w:val="009C1C0F"/>
    <w:rsid w:val="009C3FCA"/>
    <w:rsid w:val="009C4DC3"/>
    <w:rsid w:val="009C6B4F"/>
    <w:rsid w:val="009C742A"/>
    <w:rsid w:val="009C7C9B"/>
    <w:rsid w:val="009D13D3"/>
    <w:rsid w:val="009D1B1E"/>
    <w:rsid w:val="009D1EF5"/>
    <w:rsid w:val="009E0481"/>
    <w:rsid w:val="009E063B"/>
    <w:rsid w:val="009E1857"/>
    <w:rsid w:val="009E42DF"/>
    <w:rsid w:val="009E4C70"/>
    <w:rsid w:val="009E6869"/>
    <w:rsid w:val="009E76F0"/>
    <w:rsid w:val="009F1B8C"/>
    <w:rsid w:val="009F552A"/>
    <w:rsid w:val="009F5B61"/>
    <w:rsid w:val="009F5D27"/>
    <w:rsid w:val="00A004BA"/>
    <w:rsid w:val="00A0258A"/>
    <w:rsid w:val="00A058FF"/>
    <w:rsid w:val="00A059D9"/>
    <w:rsid w:val="00A07C2D"/>
    <w:rsid w:val="00A126FB"/>
    <w:rsid w:val="00A14EB0"/>
    <w:rsid w:val="00A16C7A"/>
    <w:rsid w:val="00A17DFF"/>
    <w:rsid w:val="00A20253"/>
    <w:rsid w:val="00A210EA"/>
    <w:rsid w:val="00A2161D"/>
    <w:rsid w:val="00A216B8"/>
    <w:rsid w:val="00A218B1"/>
    <w:rsid w:val="00A31282"/>
    <w:rsid w:val="00A32596"/>
    <w:rsid w:val="00A328FB"/>
    <w:rsid w:val="00A32EC7"/>
    <w:rsid w:val="00A359C2"/>
    <w:rsid w:val="00A35A21"/>
    <w:rsid w:val="00A35D78"/>
    <w:rsid w:val="00A36331"/>
    <w:rsid w:val="00A36D74"/>
    <w:rsid w:val="00A40713"/>
    <w:rsid w:val="00A4124A"/>
    <w:rsid w:val="00A41E08"/>
    <w:rsid w:val="00A423A4"/>
    <w:rsid w:val="00A42A40"/>
    <w:rsid w:val="00A44147"/>
    <w:rsid w:val="00A448C1"/>
    <w:rsid w:val="00A44F2D"/>
    <w:rsid w:val="00A466A4"/>
    <w:rsid w:val="00A471C4"/>
    <w:rsid w:val="00A47D02"/>
    <w:rsid w:val="00A50B4B"/>
    <w:rsid w:val="00A52545"/>
    <w:rsid w:val="00A52FE9"/>
    <w:rsid w:val="00A5666B"/>
    <w:rsid w:val="00A56813"/>
    <w:rsid w:val="00A61483"/>
    <w:rsid w:val="00A669AC"/>
    <w:rsid w:val="00A6770F"/>
    <w:rsid w:val="00A70102"/>
    <w:rsid w:val="00A71065"/>
    <w:rsid w:val="00A73891"/>
    <w:rsid w:val="00A73AC1"/>
    <w:rsid w:val="00A74FD2"/>
    <w:rsid w:val="00A80579"/>
    <w:rsid w:val="00A83514"/>
    <w:rsid w:val="00A84F93"/>
    <w:rsid w:val="00A8575E"/>
    <w:rsid w:val="00A8674A"/>
    <w:rsid w:val="00A91014"/>
    <w:rsid w:val="00A91D78"/>
    <w:rsid w:val="00A92BE8"/>
    <w:rsid w:val="00A92D99"/>
    <w:rsid w:val="00A9398A"/>
    <w:rsid w:val="00A94E26"/>
    <w:rsid w:val="00A958AB"/>
    <w:rsid w:val="00A9788B"/>
    <w:rsid w:val="00A97EE5"/>
    <w:rsid w:val="00AA2C72"/>
    <w:rsid w:val="00AA3B47"/>
    <w:rsid w:val="00AA6626"/>
    <w:rsid w:val="00AA75CF"/>
    <w:rsid w:val="00AB1130"/>
    <w:rsid w:val="00AB1C11"/>
    <w:rsid w:val="00AB1D46"/>
    <w:rsid w:val="00AB205A"/>
    <w:rsid w:val="00AB328F"/>
    <w:rsid w:val="00AB334C"/>
    <w:rsid w:val="00AB4260"/>
    <w:rsid w:val="00AB4FD4"/>
    <w:rsid w:val="00AB6CB3"/>
    <w:rsid w:val="00AC012C"/>
    <w:rsid w:val="00AC3788"/>
    <w:rsid w:val="00AC3DB0"/>
    <w:rsid w:val="00AC642C"/>
    <w:rsid w:val="00AD18B8"/>
    <w:rsid w:val="00AD54FF"/>
    <w:rsid w:val="00AD70BC"/>
    <w:rsid w:val="00AD7F0D"/>
    <w:rsid w:val="00AE6204"/>
    <w:rsid w:val="00AF0D64"/>
    <w:rsid w:val="00AF26D2"/>
    <w:rsid w:val="00AF3588"/>
    <w:rsid w:val="00B00704"/>
    <w:rsid w:val="00B008E5"/>
    <w:rsid w:val="00B01C70"/>
    <w:rsid w:val="00B035C5"/>
    <w:rsid w:val="00B044F7"/>
    <w:rsid w:val="00B0452D"/>
    <w:rsid w:val="00B122AA"/>
    <w:rsid w:val="00B12F71"/>
    <w:rsid w:val="00B13E1B"/>
    <w:rsid w:val="00B15436"/>
    <w:rsid w:val="00B174C2"/>
    <w:rsid w:val="00B20E2A"/>
    <w:rsid w:val="00B2179D"/>
    <w:rsid w:val="00B23414"/>
    <w:rsid w:val="00B237EA"/>
    <w:rsid w:val="00B24424"/>
    <w:rsid w:val="00B302D5"/>
    <w:rsid w:val="00B33448"/>
    <w:rsid w:val="00B33C22"/>
    <w:rsid w:val="00B33FE1"/>
    <w:rsid w:val="00B3441A"/>
    <w:rsid w:val="00B35075"/>
    <w:rsid w:val="00B359CA"/>
    <w:rsid w:val="00B35F90"/>
    <w:rsid w:val="00B36FF9"/>
    <w:rsid w:val="00B37E8F"/>
    <w:rsid w:val="00B40A2B"/>
    <w:rsid w:val="00B40EB1"/>
    <w:rsid w:val="00B426AE"/>
    <w:rsid w:val="00B42C5B"/>
    <w:rsid w:val="00B432C3"/>
    <w:rsid w:val="00B43352"/>
    <w:rsid w:val="00B45572"/>
    <w:rsid w:val="00B464FF"/>
    <w:rsid w:val="00B51A24"/>
    <w:rsid w:val="00B52C54"/>
    <w:rsid w:val="00B52D00"/>
    <w:rsid w:val="00B539BE"/>
    <w:rsid w:val="00B54B57"/>
    <w:rsid w:val="00B5752F"/>
    <w:rsid w:val="00B61C47"/>
    <w:rsid w:val="00B628F2"/>
    <w:rsid w:val="00B63A76"/>
    <w:rsid w:val="00B653C2"/>
    <w:rsid w:val="00B700D2"/>
    <w:rsid w:val="00B70247"/>
    <w:rsid w:val="00B72FFD"/>
    <w:rsid w:val="00B75826"/>
    <w:rsid w:val="00B800A5"/>
    <w:rsid w:val="00B80E5C"/>
    <w:rsid w:val="00B81A03"/>
    <w:rsid w:val="00B828DB"/>
    <w:rsid w:val="00B904F6"/>
    <w:rsid w:val="00B923DF"/>
    <w:rsid w:val="00B9513A"/>
    <w:rsid w:val="00B951A0"/>
    <w:rsid w:val="00B96635"/>
    <w:rsid w:val="00B97E25"/>
    <w:rsid w:val="00BA0D87"/>
    <w:rsid w:val="00BA532C"/>
    <w:rsid w:val="00BA59E7"/>
    <w:rsid w:val="00BA646A"/>
    <w:rsid w:val="00BB0BF1"/>
    <w:rsid w:val="00BB2971"/>
    <w:rsid w:val="00BB3420"/>
    <w:rsid w:val="00BB4C2E"/>
    <w:rsid w:val="00BB7696"/>
    <w:rsid w:val="00BC1D84"/>
    <w:rsid w:val="00BC2C17"/>
    <w:rsid w:val="00BC5D36"/>
    <w:rsid w:val="00BC714E"/>
    <w:rsid w:val="00BD2D8A"/>
    <w:rsid w:val="00BD2E76"/>
    <w:rsid w:val="00BD2FF5"/>
    <w:rsid w:val="00BE0E85"/>
    <w:rsid w:val="00BE17D3"/>
    <w:rsid w:val="00BE2AD4"/>
    <w:rsid w:val="00BE4325"/>
    <w:rsid w:val="00BE4DCD"/>
    <w:rsid w:val="00BE581A"/>
    <w:rsid w:val="00BE7CDD"/>
    <w:rsid w:val="00BF368E"/>
    <w:rsid w:val="00BF3E42"/>
    <w:rsid w:val="00BF40CC"/>
    <w:rsid w:val="00BF7D26"/>
    <w:rsid w:val="00C03297"/>
    <w:rsid w:val="00C03CB2"/>
    <w:rsid w:val="00C0422C"/>
    <w:rsid w:val="00C047BE"/>
    <w:rsid w:val="00C05644"/>
    <w:rsid w:val="00C0733D"/>
    <w:rsid w:val="00C07D67"/>
    <w:rsid w:val="00C1245E"/>
    <w:rsid w:val="00C12803"/>
    <w:rsid w:val="00C12EE3"/>
    <w:rsid w:val="00C15A89"/>
    <w:rsid w:val="00C1733B"/>
    <w:rsid w:val="00C207FC"/>
    <w:rsid w:val="00C21303"/>
    <w:rsid w:val="00C2140E"/>
    <w:rsid w:val="00C21CC2"/>
    <w:rsid w:val="00C244D0"/>
    <w:rsid w:val="00C25E4D"/>
    <w:rsid w:val="00C30437"/>
    <w:rsid w:val="00C30C20"/>
    <w:rsid w:val="00C321D2"/>
    <w:rsid w:val="00C3765C"/>
    <w:rsid w:val="00C434F9"/>
    <w:rsid w:val="00C5029D"/>
    <w:rsid w:val="00C50A4D"/>
    <w:rsid w:val="00C51559"/>
    <w:rsid w:val="00C53722"/>
    <w:rsid w:val="00C56A07"/>
    <w:rsid w:val="00C576F0"/>
    <w:rsid w:val="00C61E29"/>
    <w:rsid w:val="00C64819"/>
    <w:rsid w:val="00C661A2"/>
    <w:rsid w:val="00C6733F"/>
    <w:rsid w:val="00C7057E"/>
    <w:rsid w:val="00C73346"/>
    <w:rsid w:val="00C74A6F"/>
    <w:rsid w:val="00C82A51"/>
    <w:rsid w:val="00C83F3B"/>
    <w:rsid w:val="00C840E6"/>
    <w:rsid w:val="00C85B2F"/>
    <w:rsid w:val="00C85C4C"/>
    <w:rsid w:val="00C865C7"/>
    <w:rsid w:val="00C86A90"/>
    <w:rsid w:val="00C923B0"/>
    <w:rsid w:val="00C94B48"/>
    <w:rsid w:val="00C95CAE"/>
    <w:rsid w:val="00C97FE2"/>
    <w:rsid w:val="00CA034C"/>
    <w:rsid w:val="00CA1E11"/>
    <w:rsid w:val="00CA26DF"/>
    <w:rsid w:val="00CA4A85"/>
    <w:rsid w:val="00CA5AAA"/>
    <w:rsid w:val="00CA71D0"/>
    <w:rsid w:val="00CA7311"/>
    <w:rsid w:val="00CA7EBB"/>
    <w:rsid w:val="00CB043A"/>
    <w:rsid w:val="00CB0815"/>
    <w:rsid w:val="00CB08A6"/>
    <w:rsid w:val="00CB2264"/>
    <w:rsid w:val="00CB280D"/>
    <w:rsid w:val="00CB3F47"/>
    <w:rsid w:val="00CB5E24"/>
    <w:rsid w:val="00CB6219"/>
    <w:rsid w:val="00CB6848"/>
    <w:rsid w:val="00CB6ACB"/>
    <w:rsid w:val="00CC0BB9"/>
    <w:rsid w:val="00CC0CCC"/>
    <w:rsid w:val="00CC1B99"/>
    <w:rsid w:val="00CC3683"/>
    <w:rsid w:val="00CC3E58"/>
    <w:rsid w:val="00CC5925"/>
    <w:rsid w:val="00CC702E"/>
    <w:rsid w:val="00CC77EC"/>
    <w:rsid w:val="00CD0851"/>
    <w:rsid w:val="00CD5F00"/>
    <w:rsid w:val="00CE1F6E"/>
    <w:rsid w:val="00CE3736"/>
    <w:rsid w:val="00CE59E3"/>
    <w:rsid w:val="00CF3EFC"/>
    <w:rsid w:val="00CF465F"/>
    <w:rsid w:val="00D034BC"/>
    <w:rsid w:val="00D03EBA"/>
    <w:rsid w:val="00D043E9"/>
    <w:rsid w:val="00D05619"/>
    <w:rsid w:val="00D05884"/>
    <w:rsid w:val="00D10009"/>
    <w:rsid w:val="00D14011"/>
    <w:rsid w:val="00D156DD"/>
    <w:rsid w:val="00D16AF9"/>
    <w:rsid w:val="00D175A2"/>
    <w:rsid w:val="00D17EDD"/>
    <w:rsid w:val="00D22944"/>
    <w:rsid w:val="00D22B9B"/>
    <w:rsid w:val="00D23E63"/>
    <w:rsid w:val="00D24665"/>
    <w:rsid w:val="00D25777"/>
    <w:rsid w:val="00D27E16"/>
    <w:rsid w:val="00D27EB7"/>
    <w:rsid w:val="00D31FAE"/>
    <w:rsid w:val="00D34EE3"/>
    <w:rsid w:val="00D402BB"/>
    <w:rsid w:val="00D42A60"/>
    <w:rsid w:val="00D461C5"/>
    <w:rsid w:val="00D50DC0"/>
    <w:rsid w:val="00D51BC8"/>
    <w:rsid w:val="00D53916"/>
    <w:rsid w:val="00D552EC"/>
    <w:rsid w:val="00D55C14"/>
    <w:rsid w:val="00D56859"/>
    <w:rsid w:val="00D61402"/>
    <w:rsid w:val="00D62A64"/>
    <w:rsid w:val="00D66452"/>
    <w:rsid w:val="00D66A59"/>
    <w:rsid w:val="00D67E80"/>
    <w:rsid w:val="00D71309"/>
    <w:rsid w:val="00D71751"/>
    <w:rsid w:val="00D72E76"/>
    <w:rsid w:val="00D73096"/>
    <w:rsid w:val="00D73230"/>
    <w:rsid w:val="00D756B7"/>
    <w:rsid w:val="00D77A3D"/>
    <w:rsid w:val="00D80037"/>
    <w:rsid w:val="00D806A3"/>
    <w:rsid w:val="00D81540"/>
    <w:rsid w:val="00D82C56"/>
    <w:rsid w:val="00D82E36"/>
    <w:rsid w:val="00D82F72"/>
    <w:rsid w:val="00D8418C"/>
    <w:rsid w:val="00D86CA1"/>
    <w:rsid w:val="00D87A6F"/>
    <w:rsid w:val="00D90168"/>
    <w:rsid w:val="00D90D94"/>
    <w:rsid w:val="00D91341"/>
    <w:rsid w:val="00D93AAA"/>
    <w:rsid w:val="00D94274"/>
    <w:rsid w:val="00D95743"/>
    <w:rsid w:val="00D959E0"/>
    <w:rsid w:val="00D977B3"/>
    <w:rsid w:val="00DA0799"/>
    <w:rsid w:val="00DA113E"/>
    <w:rsid w:val="00DA1C36"/>
    <w:rsid w:val="00DA1E79"/>
    <w:rsid w:val="00DA35BC"/>
    <w:rsid w:val="00DB1346"/>
    <w:rsid w:val="00DB283B"/>
    <w:rsid w:val="00DB32AE"/>
    <w:rsid w:val="00DB3514"/>
    <w:rsid w:val="00DB3D42"/>
    <w:rsid w:val="00DB41CE"/>
    <w:rsid w:val="00DB4333"/>
    <w:rsid w:val="00DB5100"/>
    <w:rsid w:val="00DB5845"/>
    <w:rsid w:val="00DB724E"/>
    <w:rsid w:val="00DC0AB1"/>
    <w:rsid w:val="00DC0F2E"/>
    <w:rsid w:val="00DC17D5"/>
    <w:rsid w:val="00DC43F5"/>
    <w:rsid w:val="00DC51FD"/>
    <w:rsid w:val="00DC7FC1"/>
    <w:rsid w:val="00DD1921"/>
    <w:rsid w:val="00DD2DA9"/>
    <w:rsid w:val="00DD3167"/>
    <w:rsid w:val="00DD78C7"/>
    <w:rsid w:val="00DD7AB9"/>
    <w:rsid w:val="00DE2D5D"/>
    <w:rsid w:val="00DF0C25"/>
    <w:rsid w:val="00DF19CA"/>
    <w:rsid w:val="00DF4476"/>
    <w:rsid w:val="00DF536C"/>
    <w:rsid w:val="00DF6411"/>
    <w:rsid w:val="00DF6F47"/>
    <w:rsid w:val="00DF71E5"/>
    <w:rsid w:val="00DF7B4B"/>
    <w:rsid w:val="00E00679"/>
    <w:rsid w:val="00E01340"/>
    <w:rsid w:val="00E07BA2"/>
    <w:rsid w:val="00E12FFB"/>
    <w:rsid w:val="00E14342"/>
    <w:rsid w:val="00E15CB8"/>
    <w:rsid w:val="00E21512"/>
    <w:rsid w:val="00E21B93"/>
    <w:rsid w:val="00E23F0A"/>
    <w:rsid w:val="00E24C95"/>
    <w:rsid w:val="00E253C5"/>
    <w:rsid w:val="00E275D1"/>
    <w:rsid w:val="00E31693"/>
    <w:rsid w:val="00E32EE9"/>
    <w:rsid w:val="00E34192"/>
    <w:rsid w:val="00E35AAC"/>
    <w:rsid w:val="00E35F47"/>
    <w:rsid w:val="00E426BC"/>
    <w:rsid w:val="00E45D5C"/>
    <w:rsid w:val="00E464DD"/>
    <w:rsid w:val="00E46902"/>
    <w:rsid w:val="00E46CCF"/>
    <w:rsid w:val="00E50206"/>
    <w:rsid w:val="00E50BE6"/>
    <w:rsid w:val="00E57518"/>
    <w:rsid w:val="00E608EE"/>
    <w:rsid w:val="00E62E56"/>
    <w:rsid w:val="00E659F8"/>
    <w:rsid w:val="00E66064"/>
    <w:rsid w:val="00E726FD"/>
    <w:rsid w:val="00E73EBA"/>
    <w:rsid w:val="00E75645"/>
    <w:rsid w:val="00E76267"/>
    <w:rsid w:val="00E8073E"/>
    <w:rsid w:val="00E8179F"/>
    <w:rsid w:val="00E818A1"/>
    <w:rsid w:val="00E821EA"/>
    <w:rsid w:val="00E82BF7"/>
    <w:rsid w:val="00E82F08"/>
    <w:rsid w:val="00E82FD7"/>
    <w:rsid w:val="00E83BE9"/>
    <w:rsid w:val="00E83EA1"/>
    <w:rsid w:val="00E83EAB"/>
    <w:rsid w:val="00E85569"/>
    <w:rsid w:val="00E87889"/>
    <w:rsid w:val="00E879A5"/>
    <w:rsid w:val="00E90FAB"/>
    <w:rsid w:val="00E90FCF"/>
    <w:rsid w:val="00E917C3"/>
    <w:rsid w:val="00E95242"/>
    <w:rsid w:val="00EA244C"/>
    <w:rsid w:val="00EA4270"/>
    <w:rsid w:val="00EA481C"/>
    <w:rsid w:val="00EA49E0"/>
    <w:rsid w:val="00EA5575"/>
    <w:rsid w:val="00EA7AE5"/>
    <w:rsid w:val="00EB379B"/>
    <w:rsid w:val="00EB5452"/>
    <w:rsid w:val="00EB6E4A"/>
    <w:rsid w:val="00EB718A"/>
    <w:rsid w:val="00EB75ED"/>
    <w:rsid w:val="00EC0CCA"/>
    <w:rsid w:val="00EC6B43"/>
    <w:rsid w:val="00EC6F24"/>
    <w:rsid w:val="00EC774D"/>
    <w:rsid w:val="00EC7A12"/>
    <w:rsid w:val="00ED0D1E"/>
    <w:rsid w:val="00ED22A6"/>
    <w:rsid w:val="00ED275E"/>
    <w:rsid w:val="00ED2CFB"/>
    <w:rsid w:val="00ED3A3E"/>
    <w:rsid w:val="00ED447A"/>
    <w:rsid w:val="00ED4510"/>
    <w:rsid w:val="00ED501D"/>
    <w:rsid w:val="00ED52A9"/>
    <w:rsid w:val="00ED5323"/>
    <w:rsid w:val="00ED5C77"/>
    <w:rsid w:val="00ED670B"/>
    <w:rsid w:val="00ED6D3B"/>
    <w:rsid w:val="00EE0B71"/>
    <w:rsid w:val="00EE191A"/>
    <w:rsid w:val="00EE1F33"/>
    <w:rsid w:val="00EE1F5C"/>
    <w:rsid w:val="00EE38AF"/>
    <w:rsid w:val="00EE4740"/>
    <w:rsid w:val="00EE4BD2"/>
    <w:rsid w:val="00EE6444"/>
    <w:rsid w:val="00EE648F"/>
    <w:rsid w:val="00EE65FD"/>
    <w:rsid w:val="00EE7377"/>
    <w:rsid w:val="00EF01A0"/>
    <w:rsid w:val="00EF160E"/>
    <w:rsid w:val="00EF26B1"/>
    <w:rsid w:val="00EF2C60"/>
    <w:rsid w:val="00EF2DB6"/>
    <w:rsid w:val="00EF52E5"/>
    <w:rsid w:val="00EF672A"/>
    <w:rsid w:val="00F00AD2"/>
    <w:rsid w:val="00F00E7B"/>
    <w:rsid w:val="00F044A8"/>
    <w:rsid w:val="00F10009"/>
    <w:rsid w:val="00F10E18"/>
    <w:rsid w:val="00F12398"/>
    <w:rsid w:val="00F12804"/>
    <w:rsid w:val="00F14CCB"/>
    <w:rsid w:val="00F165D0"/>
    <w:rsid w:val="00F17DEC"/>
    <w:rsid w:val="00F208D2"/>
    <w:rsid w:val="00F222A5"/>
    <w:rsid w:val="00F22EBB"/>
    <w:rsid w:val="00F245E5"/>
    <w:rsid w:val="00F24BD8"/>
    <w:rsid w:val="00F254D0"/>
    <w:rsid w:val="00F25D1D"/>
    <w:rsid w:val="00F26108"/>
    <w:rsid w:val="00F27844"/>
    <w:rsid w:val="00F325EF"/>
    <w:rsid w:val="00F32FA8"/>
    <w:rsid w:val="00F3335E"/>
    <w:rsid w:val="00F3336C"/>
    <w:rsid w:val="00F33F7F"/>
    <w:rsid w:val="00F342DE"/>
    <w:rsid w:val="00F34546"/>
    <w:rsid w:val="00F37D10"/>
    <w:rsid w:val="00F40067"/>
    <w:rsid w:val="00F43AF1"/>
    <w:rsid w:val="00F457F5"/>
    <w:rsid w:val="00F45B2D"/>
    <w:rsid w:val="00F471A8"/>
    <w:rsid w:val="00F47657"/>
    <w:rsid w:val="00F5285A"/>
    <w:rsid w:val="00F5431A"/>
    <w:rsid w:val="00F57AD6"/>
    <w:rsid w:val="00F57F0C"/>
    <w:rsid w:val="00F6022A"/>
    <w:rsid w:val="00F61337"/>
    <w:rsid w:val="00F62E51"/>
    <w:rsid w:val="00F64EDD"/>
    <w:rsid w:val="00F7507F"/>
    <w:rsid w:val="00F75F78"/>
    <w:rsid w:val="00F819D0"/>
    <w:rsid w:val="00F823B7"/>
    <w:rsid w:val="00F8244C"/>
    <w:rsid w:val="00F83E30"/>
    <w:rsid w:val="00F846D1"/>
    <w:rsid w:val="00F84749"/>
    <w:rsid w:val="00F84A92"/>
    <w:rsid w:val="00F84D84"/>
    <w:rsid w:val="00F86221"/>
    <w:rsid w:val="00F86ACC"/>
    <w:rsid w:val="00F909CC"/>
    <w:rsid w:val="00F90E1A"/>
    <w:rsid w:val="00F9181F"/>
    <w:rsid w:val="00F927B7"/>
    <w:rsid w:val="00F93C57"/>
    <w:rsid w:val="00F94B6C"/>
    <w:rsid w:val="00FA147F"/>
    <w:rsid w:val="00FA17B8"/>
    <w:rsid w:val="00FA1DAA"/>
    <w:rsid w:val="00FA4261"/>
    <w:rsid w:val="00FA6086"/>
    <w:rsid w:val="00FA66BE"/>
    <w:rsid w:val="00FA767A"/>
    <w:rsid w:val="00FB05FE"/>
    <w:rsid w:val="00FB35CF"/>
    <w:rsid w:val="00FB3C73"/>
    <w:rsid w:val="00FB452F"/>
    <w:rsid w:val="00FB4B7E"/>
    <w:rsid w:val="00FC36A6"/>
    <w:rsid w:val="00FC4BFC"/>
    <w:rsid w:val="00FC605A"/>
    <w:rsid w:val="00FC79E2"/>
    <w:rsid w:val="00FD05A1"/>
    <w:rsid w:val="00FD08B5"/>
    <w:rsid w:val="00FD1127"/>
    <w:rsid w:val="00FD1630"/>
    <w:rsid w:val="00FD40CB"/>
    <w:rsid w:val="00FD5042"/>
    <w:rsid w:val="00FD6B5F"/>
    <w:rsid w:val="00FD77D9"/>
    <w:rsid w:val="00FE4726"/>
    <w:rsid w:val="00FE4A83"/>
    <w:rsid w:val="00FE55B2"/>
    <w:rsid w:val="00FE6B08"/>
    <w:rsid w:val="00FE71CA"/>
    <w:rsid w:val="00FE75AE"/>
    <w:rsid w:val="00FE7C59"/>
    <w:rsid w:val="00FF07A4"/>
    <w:rsid w:val="00FF0817"/>
    <w:rsid w:val="00FF20C4"/>
    <w:rsid w:val="00FF31A4"/>
    <w:rsid w:val="00FF6FC9"/>
    <w:rsid w:val="00FF72FB"/>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7460C2B"/>
  <w14:defaultImageDpi w14:val="300"/>
  <w15:docId w15:val="{EE3ED217-4CF8-4856-BD78-0AB1EFB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uiPriority w:val="99"/>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rsid w:val="00A36331"/>
    <w:rPr>
      <w:sz w:val="18"/>
      <w:lang w:eastAsia="en-US"/>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MediumList2-Accent21">
    <w:name w:val="Medium List 2 - Accent 21"/>
    <w:hidden/>
    <w:uiPriority w:val="71"/>
    <w:rsid w:val="006252E5"/>
    <w:rPr>
      <w:lang w:val="en-GB"/>
    </w:rPr>
  </w:style>
  <w:style w:type="paragraph" w:customStyle="1" w:styleId="Default">
    <w:name w:val="Default"/>
    <w:rsid w:val="00374B2F"/>
    <w:pPr>
      <w:autoSpaceDE w:val="0"/>
      <w:autoSpaceDN w:val="0"/>
      <w:adjustRightInd w:val="0"/>
    </w:pPr>
    <w:rPr>
      <w:color w:val="000000"/>
      <w:sz w:val="24"/>
      <w:szCs w:val="24"/>
      <w:lang w:val="en-GB"/>
    </w:rPr>
  </w:style>
  <w:style w:type="character" w:styleId="Strong">
    <w:name w:val="Strong"/>
    <w:basedOn w:val="DefaultParagraphFont"/>
    <w:uiPriority w:val="22"/>
    <w:qFormat/>
    <w:rsid w:val="00086C63"/>
    <w:rPr>
      <w:b/>
      <w:bCs/>
    </w:rPr>
  </w:style>
  <w:style w:type="character" w:customStyle="1" w:styleId="sb8d990e2">
    <w:name w:val="sb8d990e2"/>
    <w:basedOn w:val="DefaultParagraphFont"/>
    <w:rsid w:val="00FC36A6"/>
  </w:style>
  <w:style w:type="paragraph" w:styleId="ListParagraph">
    <w:name w:val="List Paragraph"/>
    <w:basedOn w:val="Normal"/>
    <w:uiPriority w:val="34"/>
    <w:qFormat/>
    <w:rsid w:val="00D22944"/>
    <w:pPr>
      <w:suppressAutoHyphens w:val="0"/>
      <w:spacing w:after="200" w:line="276" w:lineRule="auto"/>
      <w:ind w:left="720"/>
      <w:contextualSpacing/>
    </w:pPr>
    <w:rPr>
      <w:rFonts w:asciiTheme="minorHAnsi" w:eastAsiaTheme="minorHAnsi" w:hAnsiTheme="minorHAnsi" w:cstheme="minorBid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8214">
      <w:bodyDiv w:val="1"/>
      <w:marLeft w:val="0"/>
      <w:marRight w:val="0"/>
      <w:marTop w:val="0"/>
      <w:marBottom w:val="0"/>
      <w:divBdr>
        <w:top w:val="none" w:sz="0" w:space="0" w:color="auto"/>
        <w:left w:val="none" w:sz="0" w:space="0" w:color="auto"/>
        <w:bottom w:val="none" w:sz="0" w:space="0" w:color="auto"/>
        <w:right w:val="none" w:sz="0" w:space="0" w:color="auto"/>
      </w:divBdr>
      <w:divsChild>
        <w:div w:id="1078480683">
          <w:marLeft w:val="0"/>
          <w:marRight w:val="0"/>
          <w:marTop w:val="0"/>
          <w:marBottom w:val="0"/>
          <w:divBdr>
            <w:top w:val="none" w:sz="0" w:space="0" w:color="auto"/>
            <w:left w:val="none" w:sz="0" w:space="0" w:color="auto"/>
            <w:bottom w:val="none" w:sz="0" w:space="0" w:color="auto"/>
            <w:right w:val="none" w:sz="0" w:space="0" w:color="auto"/>
          </w:divBdr>
        </w:div>
        <w:div w:id="1123887124">
          <w:marLeft w:val="0"/>
          <w:marRight w:val="0"/>
          <w:marTop w:val="0"/>
          <w:marBottom w:val="0"/>
          <w:divBdr>
            <w:top w:val="none" w:sz="0" w:space="0" w:color="auto"/>
            <w:left w:val="none" w:sz="0" w:space="0" w:color="auto"/>
            <w:bottom w:val="none" w:sz="0" w:space="0" w:color="auto"/>
            <w:right w:val="none" w:sz="0" w:space="0" w:color="auto"/>
          </w:divBdr>
        </w:div>
        <w:div w:id="748120752">
          <w:marLeft w:val="0"/>
          <w:marRight w:val="0"/>
          <w:marTop w:val="0"/>
          <w:marBottom w:val="0"/>
          <w:divBdr>
            <w:top w:val="none" w:sz="0" w:space="0" w:color="auto"/>
            <w:left w:val="none" w:sz="0" w:space="0" w:color="auto"/>
            <w:bottom w:val="none" w:sz="0" w:space="0" w:color="auto"/>
            <w:right w:val="none" w:sz="0" w:space="0" w:color="auto"/>
          </w:divBdr>
        </w:div>
        <w:div w:id="326248275">
          <w:marLeft w:val="0"/>
          <w:marRight w:val="0"/>
          <w:marTop w:val="0"/>
          <w:marBottom w:val="0"/>
          <w:divBdr>
            <w:top w:val="none" w:sz="0" w:space="0" w:color="auto"/>
            <w:left w:val="none" w:sz="0" w:space="0" w:color="auto"/>
            <w:bottom w:val="none" w:sz="0" w:space="0" w:color="auto"/>
            <w:right w:val="none" w:sz="0" w:space="0" w:color="auto"/>
          </w:divBdr>
        </w:div>
      </w:divsChild>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913902883">
      <w:bodyDiv w:val="1"/>
      <w:marLeft w:val="0"/>
      <w:marRight w:val="0"/>
      <w:marTop w:val="0"/>
      <w:marBottom w:val="0"/>
      <w:divBdr>
        <w:top w:val="none" w:sz="0" w:space="0" w:color="auto"/>
        <w:left w:val="none" w:sz="0" w:space="0" w:color="auto"/>
        <w:bottom w:val="none" w:sz="0" w:space="0" w:color="auto"/>
        <w:right w:val="none" w:sz="0" w:space="0" w:color="auto"/>
      </w:divBdr>
      <w:divsChild>
        <w:div w:id="1251231655">
          <w:marLeft w:val="0"/>
          <w:marRight w:val="0"/>
          <w:marTop w:val="0"/>
          <w:marBottom w:val="0"/>
          <w:divBdr>
            <w:top w:val="none" w:sz="0" w:space="0" w:color="auto"/>
            <w:left w:val="none" w:sz="0" w:space="0" w:color="auto"/>
            <w:bottom w:val="none" w:sz="0" w:space="0" w:color="auto"/>
            <w:right w:val="none" w:sz="0" w:space="0" w:color="auto"/>
          </w:divBdr>
        </w:div>
        <w:div w:id="1723675570">
          <w:marLeft w:val="0"/>
          <w:marRight w:val="0"/>
          <w:marTop w:val="0"/>
          <w:marBottom w:val="0"/>
          <w:divBdr>
            <w:top w:val="none" w:sz="0" w:space="0" w:color="auto"/>
            <w:left w:val="none" w:sz="0" w:space="0" w:color="auto"/>
            <w:bottom w:val="none" w:sz="0" w:space="0" w:color="auto"/>
            <w:right w:val="none" w:sz="0" w:space="0" w:color="auto"/>
          </w:divBdr>
        </w:div>
        <w:div w:id="1058628238">
          <w:marLeft w:val="0"/>
          <w:marRight w:val="0"/>
          <w:marTop w:val="0"/>
          <w:marBottom w:val="0"/>
          <w:divBdr>
            <w:top w:val="none" w:sz="0" w:space="0" w:color="auto"/>
            <w:left w:val="none" w:sz="0" w:space="0" w:color="auto"/>
            <w:bottom w:val="none" w:sz="0" w:space="0" w:color="auto"/>
            <w:right w:val="none" w:sz="0" w:space="0" w:color="auto"/>
          </w:divBdr>
        </w:div>
        <w:div w:id="77753510">
          <w:marLeft w:val="0"/>
          <w:marRight w:val="0"/>
          <w:marTop w:val="0"/>
          <w:marBottom w:val="0"/>
          <w:divBdr>
            <w:top w:val="none" w:sz="0" w:space="0" w:color="auto"/>
            <w:left w:val="none" w:sz="0" w:space="0" w:color="auto"/>
            <w:bottom w:val="none" w:sz="0" w:space="0" w:color="auto"/>
            <w:right w:val="none" w:sz="0" w:space="0" w:color="auto"/>
          </w:divBdr>
        </w:div>
      </w:divsChild>
    </w:div>
    <w:div w:id="1106729336">
      <w:bodyDiv w:val="1"/>
      <w:marLeft w:val="0"/>
      <w:marRight w:val="0"/>
      <w:marTop w:val="0"/>
      <w:marBottom w:val="0"/>
      <w:divBdr>
        <w:top w:val="none" w:sz="0" w:space="0" w:color="auto"/>
        <w:left w:val="none" w:sz="0" w:space="0" w:color="auto"/>
        <w:bottom w:val="none" w:sz="0" w:space="0" w:color="auto"/>
        <w:right w:val="none" w:sz="0" w:space="0" w:color="auto"/>
      </w:divBdr>
    </w:div>
    <w:div w:id="1342394312">
      <w:bodyDiv w:val="1"/>
      <w:marLeft w:val="0"/>
      <w:marRight w:val="0"/>
      <w:marTop w:val="0"/>
      <w:marBottom w:val="0"/>
      <w:divBdr>
        <w:top w:val="none" w:sz="0" w:space="0" w:color="auto"/>
        <w:left w:val="none" w:sz="0" w:space="0" w:color="auto"/>
        <w:bottom w:val="none" w:sz="0" w:space="0" w:color="auto"/>
        <w:right w:val="none" w:sz="0" w:space="0" w:color="auto"/>
      </w:divBdr>
      <w:divsChild>
        <w:div w:id="1734428880">
          <w:marLeft w:val="0"/>
          <w:marRight w:val="0"/>
          <w:marTop w:val="0"/>
          <w:marBottom w:val="0"/>
          <w:divBdr>
            <w:top w:val="none" w:sz="0" w:space="0" w:color="auto"/>
            <w:left w:val="none" w:sz="0" w:space="0" w:color="auto"/>
            <w:bottom w:val="none" w:sz="0" w:space="0" w:color="auto"/>
            <w:right w:val="none" w:sz="0" w:space="0" w:color="auto"/>
          </w:divBdr>
        </w:div>
        <w:div w:id="2101875726">
          <w:marLeft w:val="0"/>
          <w:marRight w:val="0"/>
          <w:marTop w:val="0"/>
          <w:marBottom w:val="0"/>
          <w:divBdr>
            <w:top w:val="none" w:sz="0" w:space="0" w:color="auto"/>
            <w:left w:val="none" w:sz="0" w:space="0" w:color="auto"/>
            <w:bottom w:val="none" w:sz="0" w:space="0" w:color="auto"/>
            <w:right w:val="none" w:sz="0" w:space="0" w:color="auto"/>
          </w:divBdr>
        </w:div>
        <w:div w:id="1602369765">
          <w:marLeft w:val="0"/>
          <w:marRight w:val="0"/>
          <w:marTop w:val="0"/>
          <w:marBottom w:val="0"/>
          <w:divBdr>
            <w:top w:val="none" w:sz="0" w:space="0" w:color="auto"/>
            <w:left w:val="none" w:sz="0" w:space="0" w:color="auto"/>
            <w:bottom w:val="none" w:sz="0" w:space="0" w:color="auto"/>
            <w:right w:val="none" w:sz="0" w:space="0" w:color="auto"/>
          </w:divBdr>
        </w:div>
        <w:div w:id="1203328001">
          <w:marLeft w:val="0"/>
          <w:marRight w:val="0"/>
          <w:marTop w:val="0"/>
          <w:marBottom w:val="0"/>
          <w:divBdr>
            <w:top w:val="none" w:sz="0" w:space="0" w:color="auto"/>
            <w:left w:val="none" w:sz="0" w:space="0" w:color="auto"/>
            <w:bottom w:val="none" w:sz="0" w:space="0" w:color="auto"/>
            <w:right w:val="none" w:sz="0" w:space="0" w:color="auto"/>
          </w:divBdr>
        </w:div>
        <w:div w:id="1568611752">
          <w:marLeft w:val="0"/>
          <w:marRight w:val="0"/>
          <w:marTop w:val="0"/>
          <w:marBottom w:val="0"/>
          <w:divBdr>
            <w:top w:val="none" w:sz="0" w:space="0" w:color="auto"/>
            <w:left w:val="none" w:sz="0" w:space="0" w:color="auto"/>
            <w:bottom w:val="none" w:sz="0" w:space="0" w:color="auto"/>
            <w:right w:val="none" w:sz="0" w:space="0" w:color="auto"/>
          </w:divBdr>
        </w:div>
        <w:div w:id="1119684969">
          <w:marLeft w:val="0"/>
          <w:marRight w:val="0"/>
          <w:marTop w:val="0"/>
          <w:marBottom w:val="0"/>
          <w:divBdr>
            <w:top w:val="none" w:sz="0" w:space="0" w:color="auto"/>
            <w:left w:val="none" w:sz="0" w:space="0" w:color="auto"/>
            <w:bottom w:val="none" w:sz="0" w:space="0" w:color="auto"/>
            <w:right w:val="none" w:sz="0" w:space="0" w:color="auto"/>
          </w:divBdr>
        </w:div>
        <w:div w:id="280958857">
          <w:marLeft w:val="0"/>
          <w:marRight w:val="0"/>
          <w:marTop w:val="0"/>
          <w:marBottom w:val="0"/>
          <w:divBdr>
            <w:top w:val="none" w:sz="0" w:space="0" w:color="auto"/>
            <w:left w:val="none" w:sz="0" w:space="0" w:color="auto"/>
            <w:bottom w:val="none" w:sz="0" w:space="0" w:color="auto"/>
            <w:right w:val="none" w:sz="0" w:space="0" w:color="auto"/>
          </w:divBdr>
        </w:div>
        <w:div w:id="1734966044">
          <w:marLeft w:val="0"/>
          <w:marRight w:val="0"/>
          <w:marTop w:val="0"/>
          <w:marBottom w:val="0"/>
          <w:divBdr>
            <w:top w:val="none" w:sz="0" w:space="0" w:color="auto"/>
            <w:left w:val="none" w:sz="0" w:space="0" w:color="auto"/>
            <w:bottom w:val="none" w:sz="0" w:space="0" w:color="auto"/>
            <w:right w:val="none" w:sz="0" w:space="0" w:color="auto"/>
          </w:divBdr>
        </w:div>
        <w:div w:id="153760054">
          <w:marLeft w:val="0"/>
          <w:marRight w:val="0"/>
          <w:marTop w:val="0"/>
          <w:marBottom w:val="0"/>
          <w:divBdr>
            <w:top w:val="none" w:sz="0" w:space="0" w:color="auto"/>
            <w:left w:val="none" w:sz="0" w:space="0" w:color="auto"/>
            <w:bottom w:val="none" w:sz="0" w:space="0" w:color="auto"/>
            <w:right w:val="none" w:sz="0" w:space="0" w:color="auto"/>
          </w:divBdr>
        </w:div>
        <w:div w:id="74909568">
          <w:marLeft w:val="0"/>
          <w:marRight w:val="0"/>
          <w:marTop w:val="0"/>
          <w:marBottom w:val="0"/>
          <w:divBdr>
            <w:top w:val="none" w:sz="0" w:space="0" w:color="auto"/>
            <w:left w:val="none" w:sz="0" w:space="0" w:color="auto"/>
            <w:bottom w:val="none" w:sz="0" w:space="0" w:color="auto"/>
            <w:right w:val="none" w:sz="0" w:space="0" w:color="auto"/>
          </w:divBdr>
        </w:div>
        <w:div w:id="1181119902">
          <w:marLeft w:val="0"/>
          <w:marRight w:val="0"/>
          <w:marTop w:val="0"/>
          <w:marBottom w:val="0"/>
          <w:divBdr>
            <w:top w:val="none" w:sz="0" w:space="0" w:color="auto"/>
            <w:left w:val="none" w:sz="0" w:space="0" w:color="auto"/>
            <w:bottom w:val="none" w:sz="0" w:space="0" w:color="auto"/>
            <w:right w:val="none" w:sz="0" w:space="0" w:color="auto"/>
          </w:divBdr>
        </w:div>
      </w:divsChild>
    </w:div>
    <w:div w:id="1372072512">
      <w:bodyDiv w:val="1"/>
      <w:marLeft w:val="0"/>
      <w:marRight w:val="0"/>
      <w:marTop w:val="0"/>
      <w:marBottom w:val="0"/>
      <w:divBdr>
        <w:top w:val="none" w:sz="0" w:space="0" w:color="auto"/>
        <w:left w:val="none" w:sz="0" w:space="0" w:color="auto"/>
        <w:bottom w:val="none" w:sz="0" w:space="0" w:color="auto"/>
        <w:right w:val="none" w:sz="0" w:space="0" w:color="auto"/>
      </w:divBdr>
    </w:div>
    <w:div w:id="1668627993">
      <w:bodyDiv w:val="1"/>
      <w:marLeft w:val="0"/>
      <w:marRight w:val="0"/>
      <w:marTop w:val="0"/>
      <w:marBottom w:val="0"/>
      <w:divBdr>
        <w:top w:val="none" w:sz="0" w:space="0" w:color="auto"/>
        <w:left w:val="none" w:sz="0" w:space="0" w:color="auto"/>
        <w:bottom w:val="none" w:sz="0" w:space="0" w:color="auto"/>
        <w:right w:val="none" w:sz="0" w:space="0" w:color="auto"/>
      </w:divBdr>
    </w:div>
    <w:div w:id="1769882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113E5-49AB-4401-995E-BC3839110081}"/>
</file>

<file path=customXml/itemProps2.xml><?xml version="1.0" encoding="utf-8"?>
<ds:datastoreItem xmlns:ds="http://schemas.openxmlformats.org/officeDocument/2006/customXml" ds:itemID="{3722BE02-B57A-4A6C-8BF7-635DE9BBAFC4}"/>
</file>

<file path=customXml/itemProps3.xml><?xml version="1.0" encoding="utf-8"?>
<ds:datastoreItem xmlns:ds="http://schemas.openxmlformats.org/officeDocument/2006/customXml" ds:itemID="{E8BB8DEA-C100-4A4E-9584-B9BC618EAECB}"/>
</file>

<file path=customXml/itemProps4.xml><?xml version="1.0" encoding="utf-8"?>
<ds:datastoreItem xmlns:ds="http://schemas.openxmlformats.org/officeDocument/2006/customXml" ds:itemID="{8AE0B427-3E98-46BB-B991-BEC2F80A5F43}"/>
</file>

<file path=docProps/app.xml><?xml version="1.0" encoding="utf-8"?>
<Properties xmlns="http://schemas.openxmlformats.org/officeDocument/2006/extended-properties" xmlns:vt="http://schemas.openxmlformats.org/officeDocument/2006/docPropsVTypes">
  <Template>CCPR_E.dotm</Template>
  <TotalTime>8</TotalTime>
  <Pages>12</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CCPR/C/125/DR/2536/2015</vt:lpstr>
    </vt:vector>
  </TitlesOfParts>
  <Company>CSD</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CCPR/C/125/DR/2536/2015</dc:title>
  <dc:subject>1903486</dc:subject>
  <dc:creator>Generic Desk Anglais</dc:creator>
  <cp:keywords/>
  <dc:description/>
  <cp:lastModifiedBy>ABDELAZIM Mohamed</cp:lastModifiedBy>
  <cp:revision>5</cp:revision>
  <cp:lastPrinted>2019-03-28T08:44:00Z</cp:lastPrinted>
  <dcterms:created xsi:type="dcterms:W3CDTF">2019-04-26T09:36:00Z</dcterms:created>
  <dcterms:modified xsi:type="dcterms:W3CDTF">2019-04-29T14:15:00Z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