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1103BA" w14:paraId="1E921745" w14:textId="77777777" w:rsidTr="00B6553F">
        <w:trPr>
          <w:cantSplit/>
          <w:trHeight w:hRule="exact" w:val="851"/>
        </w:trPr>
        <w:tc>
          <w:tcPr>
            <w:tcW w:w="1276" w:type="dxa"/>
            <w:tcBorders>
              <w:bottom w:val="single" w:sz="4" w:space="0" w:color="auto"/>
            </w:tcBorders>
            <w:vAlign w:val="bottom"/>
          </w:tcPr>
          <w:p w14:paraId="6ED97FD3" w14:textId="77777777" w:rsidR="000128E3" w:rsidRPr="001103BA" w:rsidRDefault="000128E3" w:rsidP="00B6553F">
            <w:pPr>
              <w:spacing w:after="80"/>
              <w:rPr>
                <w:lang w:val="en-US"/>
              </w:rPr>
            </w:pPr>
          </w:p>
        </w:tc>
        <w:tc>
          <w:tcPr>
            <w:tcW w:w="2268" w:type="dxa"/>
            <w:tcBorders>
              <w:bottom w:val="single" w:sz="4" w:space="0" w:color="auto"/>
            </w:tcBorders>
            <w:vAlign w:val="bottom"/>
          </w:tcPr>
          <w:p w14:paraId="2909B3D8" w14:textId="77777777" w:rsidR="000128E3" w:rsidRPr="001103BA" w:rsidRDefault="000128E3" w:rsidP="00375544">
            <w:pPr>
              <w:spacing w:after="80" w:line="240" w:lineRule="auto"/>
              <w:rPr>
                <w:b/>
              </w:rPr>
            </w:pPr>
            <w:r w:rsidRPr="00375544">
              <w:rPr>
                <w:sz w:val="28"/>
                <w:szCs w:val="28"/>
                <w:lang w:val="en-US"/>
              </w:rPr>
              <w:t>United Nations</w:t>
            </w:r>
          </w:p>
        </w:tc>
        <w:tc>
          <w:tcPr>
            <w:tcW w:w="6095" w:type="dxa"/>
            <w:gridSpan w:val="2"/>
            <w:tcBorders>
              <w:bottom w:val="single" w:sz="4" w:space="0" w:color="auto"/>
            </w:tcBorders>
            <w:vAlign w:val="bottom"/>
          </w:tcPr>
          <w:p w14:paraId="74453869" w14:textId="1B2BC543" w:rsidR="000128E3" w:rsidRPr="001103BA" w:rsidRDefault="000128E3" w:rsidP="003331C8">
            <w:pPr>
              <w:jc w:val="right"/>
            </w:pPr>
            <w:r w:rsidRPr="003B2774">
              <w:rPr>
                <w:sz w:val="40"/>
                <w:szCs w:val="40"/>
              </w:rPr>
              <w:t>CCPR</w:t>
            </w:r>
            <w:r w:rsidR="00431FE1" w:rsidRPr="001103BA">
              <w:t>/C/1</w:t>
            </w:r>
            <w:r w:rsidR="006A3ADD" w:rsidRPr="001103BA">
              <w:t>2</w:t>
            </w:r>
            <w:r w:rsidR="003712EE">
              <w:t>5</w:t>
            </w:r>
            <w:r w:rsidRPr="001103BA">
              <w:t>/</w:t>
            </w:r>
            <w:r w:rsidR="002A2577">
              <w:t>D/</w:t>
            </w:r>
            <w:r w:rsidR="003712EE">
              <w:t>2</w:t>
            </w:r>
            <w:r w:rsidR="008A0505">
              <w:t>498</w:t>
            </w:r>
            <w:r w:rsidRPr="001103BA">
              <w:t>/201</w:t>
            </w:r>
            <w:r w:rsidR="008A0505">
              <w:t>4</w:t>
            </w:r>
          </w:p>
        </w:tc>
      </w:tr>
      <w:tr w:rsidR="000128E3" w:rsidRPr="00375544" w14:paraId="7D954E1E" w14:textId="77777777" w:rsidTr="00B6553F">
        <w:trPr>
          <w:cantSplit/>
          <w:trHeight w:hRule="exact" w:val="2835"/>
        </w:trPr>
        <w:tc>
          <w:tcPr>
            <w:tcW w:w="1276" w:type="dxa"/>
            <w:tcBorders>
              <w:top w:val="single" w:sz="4" w:space="0" w:color="auto"/>
              <w:bottom w:val="single" w:sz="12" w:space="0" w:color="auto"/>
            </w:tcBorders>
          </w:tcPr>
          <w:p w14:paraId="2821F1A0" w14:textId="77777777" w:rsidR="000128E3" w:rsidRDefault="00BC550A" w:rsidP="00B6553F">
            <w:pPr>
              <w:spacing w:before="120"/>
            </w:pPr>
            <w:r>
              <w:rPr>
                <w:noProof/>
                <w:lang w:eastAsia="en-GB"/>
              </w:rPr>
              <w:drawing>
                <wp:inline distT="0" distB="0" distL="0" distR="0" wp14:anchorId="781AC009" wp14:editId="59526CF8">
                  <wp:extent cx="727710" cy="59880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598805"/>
                          </a:xfrm>
                          <a:prstGeom prst="rect">
                            <a:avLst/>
                          </a:prstGeom>
                          <a:noFill/>
                          <a:ln>
                            <a:noFill/>
                          </a:ln>
                        </pic:spPr>
                      </pic:pic>
                    </a:graphicData>
                  </a:graphic>
                </wp:inline>
              </w:drawing>
            </w:r>
          </w:p>
          <w:p w14:paraId="50F88AC2" w14:textId="77777777" w:rsidR="003331C8" w:rsidRDefault="003331C8" w:rsidP="00B6553F">
            <w:pPr>
              <w:spacing w:before="120"/>
            </w:pPr>
          </w:p>
          <w:p w14:paraId="6593871C" w14:textId="79B2872C" w:rsidR="003331C8" w:rsidRPr="001103BA" w:rsidRDefault="003331C8" w:rsidP="00B6553F">
            <w:pPr>
              <w:spacing w:before="120"/>
            </w:pPr>
          </w:p>
        </w:tc>
        <w:tc>
          <w:tcPr>
            <w:tcW w:w="5528" w:type="dxa"/>
            <w:gridSpan w:val="2"/>
            <w:tcBorders>
              <w:top w:val="single" w:sz="4" w:space="0" w:color="auto"/>
              <w:bottom w:val="single" w:sz="12" w:space="0" w:color="auto"/>
            </w:tcBorders>
          </w:tcPr>
          <w:p w14:paraId="6972430F" w14:textId="77777777" w:rsidR="00C7385F" w:rsidRDefault="000128E3" w:rsidP="00375544">
            <w:pPr>
              <w:spacing w:before="120" w:line="240" w:lineRule="auto"/>
              <w:rPr>
                <w:b/>
                <w:sz w:val="34"/>
                <w:szCs w:val="40"/>
                <w:lang w:val="en-US"/>
              </w:rPr>
            </w:pPr>
            <w:r w:rsidRPr="00375544">
              <w:rPr>
                <w:b/>
                <w:sz w:val="34"/>
                <w:szCs w:val="40"/>
                <w:lang w:val="en-US"/>
              </w:rPr>
              <w:t>International Covenant on</w:t>
            </w:r>
            <w:r w:rsidRPr="00375544">
              <w:rPr>
                <w:b/>
                <w:sz w:val="34"/>
                <w:szCs w:val="40"/>
                <w:lang w:val="en-US"/>
              </w:rPr>
              <w:br/>
              <w:t>Civil and Political Rights</w:t>
            </w:r>
          </w:p>
          <w:p w14:paraId="7F73CBBA" w14:textId="77777777" w:rsidR="003331C8" w:rsidRDefault="003331C8" w:rsidP="003331C8">
            <w:pPr>
              <w:spacing w:before="120" w:line="380" w:lineRule="exact"/>
              <w:rPr>
                <w:sz w:val="34"/>
                <w:szCs w:val="40"/>
              </w:rPr>
            </w:pPr>
            <w:r w:rsidRPr="000921E9">
              <w:rPr>
                <w:sz w:val="34"/>
                <w:szCs w:val="40"/>
              </w:rPr>
              <w:t>Advance unedited version</w:t>
            </w:r>
          </w:p>
          <w:p w14:paraId="67B31D3A" w14:textId="5D6AE8CF" w:rsidR="003331C8" w:rsidRPr="001103BA" w:rsidRDefault="003331C8" w:rsidP="00375544">
            <w:pPr>
              <w:spacing w:before="120" w:line="240" w:lineRule="auto"/>
              <w:rPr>
                <w:b/>
              </w:rPr>
            </w:pPr>
          </w:p>
        </w:tc>
        <w:tc>
          <w:tcPr>
            <w:tcW w:w="2835" w:type="dxa"/>
            <w:tcBorders>
              <w:top w:val="single" w:sz="4" w:space="0" w:color="auto"/>
              <w:bottom w:val="single" w:sz="12" w:space="0" w:color="auto"/>
            </w:tcBorders>
          </w:tcPr>
          <w:p w14:paraId="5D753507" w14:textId="6576A044" w:rsidR="00FC70CA" w:rsidRPr="00375544" w:rsidRDefault="00FC70CA" w:rsidP="00375544">
            <w:pPr>
              <w:spacing w:before="240" w:line="240" w:lineRule="auto"/>
              <w:rPr>
                <w:lang w:val="en-US"/>
              </w:rPr>
            </w:pPr>
            <w:r w:rsidRPr="00375544">
              <w:rPr>
                <w:lang w:val="en-US"/>
              </w:rPr>
              <w:t xml:space="preserve">Distr.: </w:t>
            </w:r>
            <w:r w:rsidR="00150CA1">
              <w:rPr>
                <w:lang w:val="en-US"/>
              </w:rPr>
              <w:t>General</w:t>
            </w:r>
          </w:p>
          <w:p w14:paraId="74802A27" w14:textId="66525B6E" w:rsidR="00FC70CA" w:rsidRDefault="003331C8" w:rsidP="00255FAA">
            <w:pPr>
              <w:spacing w:line="240" w:lineRule="auto"/>
              <w:rPr>
                <w:lang w:val="en-US"/>
              </w:rPr>
            </w:pPr>
            <w:r>
              <w:rPr>
                <w:lang w:val="en-US"/>
              </w:rPr>
              <w:t>15 April</w:t>
            </w:r>
            <w:r w:rsidR="001F1CE9">
              <w:rPr>
                <w:lang w:val="en-US"/>
              </w:rPr>
              <w:t xml:space="preserve"> 2019</w:t>
            </w:r>
          </w:p>
          <w:p w14:paraId="73DE077C" w14:textId="77777777" w:rsidR="009A6499" w:rsidRPr="00375544" w:rsidRDefault="009A6499" w:rsidP="00255FAA">
            <w:pPr>
              <w:spacing w:line="240" w:lineRule="auto"/>
              <w:rPr>
                <w:lang w:val="en-US"/>
              </w:rPr>
            </w:pPr>
          </w:p>
          <w:p w14:paraId="27D220DA" w14:textId="77777777" w:rsidR="00FC70CA" w:rsidRPr="00375544" w:rsidRDefault="00FC70CA" w:rsidP="00375544">
            <w:pPr>
              <w:spacing w:line="240" w:lineRule="auto"/>
              <w:rPr>
                <w:lang w:val="en-US"/>
              </w:rPr>
            </w:pPr>
            <w:r w:rsidRPr="00375544">
              <w:rPr>
                <w:lang w:val="en-US"/>
              </w:rPr>
              <w:t>Original: English</w:t>
            </w:r>
          </w:p>
          <w:p w14:paraId="434307F6" w14:textId="008A6E52" w:rsidR="000128E3" w:rsidRPr="00375544" w:rsidRDefault="000128E3" w:rsidP="0008667F">
            <w:pPr>
              <w:spacing w:line="240" w:lineRule="auto"/>
              <w:rPr>
                <w:lang w:val="en-US"/>
              </w:rPr>
            </w:pPr>
          </w:p>
        </w:tc>
      </w:tr>
    </w:tbl>
    <w:p w14:paraId="63E2C85C" w14:textId="77777777" w:rsidR="008C017D" w:rsidRPr="001103BA" w:rsidRDefault="008C017D" w:rsidP="008C017D">
      <w:pPr>
        <w:spacing w:line="20" w:lineRule="exact"/>
        <w:rPr>
          <w:b/>
        </w:rPr>
      </w:pPr>
    </w:p>
    <w:p w14:paraId="0E2D6E2E" w14:textId="77777777" w:rsidR="00611EBB" w:rsidRPr="00BC1248" w:rsidRDefault="00611EBB" w:rsidP="00611EBB">
      <w:pPr>
        <w:spacing w:before="120"/>
        <w:rPr>
          <w:b/>
          <w:sz w:val="24"/>
          <w:szCs w:val="24"/>
        </w:rPr>
      </w:pPr>
      <w:r w:rsidRPr="00BC1248">
        <w:rPr>
          <w:b/>
          <w:sz w:val="24"/>
          <w:szCs w:val="24"/>
        </w:rPr>
        <w:t>Human Rights Committee</w:t>
      </w:r>
    </w:p>
    <w:p w14:paraId="2E3C3FC3" w14:textId="3F6D1D38" w:rsidR="00820BE3" w:rsidRPr="00764F60" w:rsidRDefault="00FC70CA" w:rsidP="00820BE3">
      <w:pPr>
        <w:pStyle w:val="HChG"/>
        <w:rPr>
          <w:sz w:val="20"/>
        </w:rPr>
      </w:pPr>
      <w:r w:rsidRPr="001103BA">
        <w:rPr>
          <w:sz w:val="20"/>
        </w:rPr>
        <w:tab/>
      </w:r>
      <w:r w:rsidRPr="001103BA">
        <w:rPr>
          <w:sz w:val="20"/>
        </w:rPr>
        <w:tab/>
      </w:r>
      <w:r w:rsidR="006E012F" w:rsidRPr="00D728D5">
        <w:t>Views adopted by the Committee under article 5</w:t>
      </w:r>
      <w:r w:rsidR="006E012F">
        <w:t xml:space="preserve"> </w:t>
      </w:r>
      <w:r w:rsidR="006E012F" w:rsidRPr="00D728D5">
        <w:t>(4) of the</w:t>
      </w:r>
      <w:r w:rsidR="006E012F">
        <w:t> </w:t>
      </w:r>
      <w:r w:rsidR="006E012F" w:rsidRPr="00D728D5">
        <w:t xml:space="preserve">Optional Protocol, concerning </w:t>
      </w:r>
      <w:r w:rsidR="006E012F">
        <w:rPr>
          <w:szCs w:val="28"/>
        </w:rPr>
        <w:t>c</w:t>
      </w:r>
      <w:r w:rsidR="008A5196" w:rsidRPr="00BC1248">
        <w:rPr>
          <w:szCs w:val="28"/>
        </w:rPr>
        <w:t>ommunication No</w:t>
      </w:r>
      <w:r w:rsidR="008A5196" w:rsidRPr="001103BA">
        <w:rPr>
          <w:sz w:val="20"/>
        </w:rPr>
        <w:t xml:space="preserve">. </w:t>
      </w:r>
      <w:r w:rsidR="008A0505">
        <w:rPr>
          <w:szCs w:val="28"/>
        </w:rPr>
        <w:t>2498/2014</w:t>
      </w:r>
      <w:r w:rsidR="00820BE3" w:rsidRPr="00B46303">
        <w:rPr>
          <w:rStyle w:val="FootnoteReference"/>
          <w:b w:val="0"/>
          <w:sz w:val="20"/>
          <w:vertAlign w:val="baseline"/>
        </w:rPr>
        <w:footnoteReference w:customMarkFollows="1" w:id="2"/>
        <w:t>*</w:t>
      </w:r>
      <w:r w:rsidR="00820BE3">
        <w:rPr>
          <w:b w:val="0"/>
          <w:sz w:val="20"/>
        </w:rPr>
        <w:t>,</w:t>
      </w:r>
      <w:r w:rsidR="00820BE3" w:rsidRPr="00B46303">
        <w:rPr>
          <w:rStyle w:val="FootnoteReference"/>
          <w:b w:val="0"/>
          <w:sz w:val="20"/>
          <w:vertAlign w:val="baseline"/>
        </w:rPr>
        <w:footnoteReference w:customMarkFollows="1" w:id="3"/>
        <w:t>**</w:t>
      </w:r>
      <w:proofErr w:type="gramStart"/>
      <w:r w:rsidR="002847D5">
        <w:rPr>
          <w:b w:val="0"/>
          <w:sz w:val="20"/>
        </w:rPr>
        <w:t>,</w:t>
      </w:r>
      <w:proofErr w:type="gramEnd"/>
      <w:r w:rsidR="002847D5" w:rsidRPr="00F75C5C">
        <w:rPr>
          <w:rStyle w:val="FootnoteReference"/>
          <w:b w:val="0"/>
          <w:sz w:val="20"/>
          <w:vertAlign w:val="baseline"/>
        </w:rPr>
        <w:footnoteReference w:customMarkFollows="1" w:id="4"/>
        <w:t>***</w:t>
      </w:r>
    </w:p>
    <w:p w14:paraId="038AA471" w14:textId="1C53AAF9" w:rsidR="000128E3" w:rsidRPr="001103BA" w:rsidRDefault="00683EF7" w:rsidP="00D0355C">
      <w:pPr>
        <w:pStyle w:val="SingleTxtG"/>
        <w:ind w:left="4536" w:hanging="3402"/>
      </w:pPr>
      <w:r w:rsidRPr="001103BA">
        <w:rPr>
          <w:i/>
        </w:rPr>
        <w:t>Communication s</w:t>
      </w:r>
      <w:r w:rsidR="000128E3" w:rsidRPr="001103BA">
        <w:rPr>
          <w:i/>
        </w:rPr>
        <w:t>ubmitted by:</w:t>
      </w:r>
      <w:r w:rsidR="000128E3" w:rsidRPr="001103BA">
        <w:tab/>
      </w:r>
      <w:r w:rsidR="00B13433">
        <w:t xml:space="preserve">Ekaterina </w:t>
      </w:r>
      <w:proofErr w:type="spellStart"/>
      <w:r w:rsidR="00B13433">
        <w:t>Abdoellaevna</w:t>
      </w:r>
      <w:proofErr w:type="spellEnd"/>
      <w:r w:rsidR="00F72D0C">
        <w:t>, on behalf of herself</w:t>
      </w:r>
      <w:r w:rsidR="00921DC4">
        <w:t xml:space="preserve"> and </w:t>
      </w:r>
      <w:r w:rsidR="00B13433">
        <w:t>her minor daughter, Y</w:t>
      </w:r>
      <w:r w:rsidR="009F6B04">
        <w:t xml:space="preserve"> </w:t>
      </w:r>
      <w:r w:rsidR="00AD6368">
        <w:t>(</w:t>
      </w:r>
      <w:r w:rsidR="00B6324C" w:rsidRPr="001103BA">
        <w:t>represented</w:t>
      </w:r>
      <w:r w:rsidR="00D10734" w:rsidRPr="001103BA">
        <w:t xml:space="preserve"> by </w:t>
      </w:r>
      <w:r w:rsidR="00921DC4">
        <w:t>W.G. Fischer)</w:t>
      </w:r>
    </w:p>
    <w:p w14:paraId="78D33241" w14:textId="7777EACD" w:rsidR="000128E3" w:rsidRPr="001103BA" w:rsidRDefault="000128E3" w:rsidP="007113A4">
      <w:pPr>
        <w:pStyle w:val="SingleTxtG"/>
        <w:ind w:left="4536" w:hanging="3402"/>
        <w:jc w:val="left"/>
      </w:pPr>
      <w:r w:rsidRPr="001103BA">
        <w:rPr>
          <w:i/>
        </w:rPr>
        <w:t>Alleged victim:</w:t>
      </w:r>
      <w:r w:rsidRPr="001103BA">
        <w:tab/>
      </w:r>
      <w:r w:rsidR="00B13433">
        <w:t xml:space="preserve">The author and </w:t>
      </w:r>
      <w:r w:rsidR="00B65ADE">
        <w:t>Y</w:t>
      </w:r>
    </w:p>
    <w:p w14:paraId="593BD216" w14:textId="449900F5" w:rsidR="000128E3" w:rsidRPr="001103BA" w:rsidRDefault="000128E3" w:rsidP="007113A4">
      <w:pPr>
        <w:pStyle w:val="SingleTxtG"/>
        <w:ind w:left="4536" w:hanging="3402"/>
        <w:jc w:val="left"/>
      </w:pPr>
      <w:r w:rsidRPr="001103BA">
        <w:rPr>
          <w:i/>
        </w:rPr>
        <w:t>State party:</w:t>
      </w:r>
      <w:r w:rsidRPr="001103BA">
        <w:tab/>
      </w:r>
      <w:r w:rsidR="00BF0969">
        <w:t>The Netherlands</w:t>
      </w:r>
    </w:p>
    <w:p w14:paraId="66F7742D" w14:textId="76BBB74B" w:rsidR="000128E3" w:rsidRPr="001103BA" w:rsidRDefault="000128E3" w:rsidP="007113A4">
      <w:pPr>
        <w:pStyle w:val="SingleTxtG"/>
        <w:ind w:left="4536" w:hanging="3402"/>
        <w:jc w:val="left"/>
      </w:pPr>
      <w:r w:rsidRPr="001103BA">
        <w:rPr>
          <w:i/>
        </w:rPr>
        <w:t>Date of communication:</w:t>
      </w:r>
      <w:r w:rsidRPr="001103BA">
        <w:tab/>
      </w:r>
      <w:r w:rsidR="00C447B7">
        <w:t>31 July 2014 (initial submission)</w:t>
      </w:r>
    </w:p>
    <w:p w14:paraId="3E30C88D" w14:textId="1973C4D9" w:rsidR="000128E3" w:rsidRPr="001103BA" w:rsidRDefault="000128E3" w:rsidP="00D0355C">
      <w:pPr>
        <w:pStyle w:val="SingleTxtG"/>
        <w:ind w:left="4536" w:hanging="3402"/>
      </w:pPr>
      <w:r w:rsidRPr="001103BA">
        <w:rPr>
          <w:i/>
        </w:rPr>
        <w:t>Document references:</w:t>
      </w:r>
      <w:r w:rsidRPr="001103BA">
        <w:tab/>
      </w:r>
      <w:r w:rsidR="005F2358" w:rsidRPr="00FC40AF">
        <w:t>Decision taken pursuant to rule 97 of the Committee</w:t>
      </w:r>
      <w:r w:rsidR="005F2358">
        <w:t>’</w:t>
      </w:r>
      <w:r w:rsidR="005F2358" w:rsidRPr="00FC40AF">
        <w:t>s rules of procedure</w:t>
      </w:r>
      <w:r w:rsidRPr="001103BA">
        <w:t xml:space="preserve">, transmitted to the State party </w:t>
      </w:r>
      <w:r w:rsidR="00C447B7">
        <w:t>on 10 December 2014</w:t>
      </w:r>
      <w:r w:rsidR="00841306" w:rsidRPr="001103BA">
        <w:t xml:space="preserve"> </w:t>
      </w:r>
      <w:r w:rsidRPr="001103BA">
        <w:t>(not issued in document form)</w:t>
      </w:r>
    </w:p>
    <w:p w14:paraId="708A99C5" w14:textId="535F8ECB" w:rsidR="000128E3" w:rsidRPr="001103BA" w:rsidRDefault="000128E3" w:rsidP="007113A4">
      <w:pPr>
        <w:pStyle w:val="SingleTxtG"/>
        <w:ind w:left="4536" w:hanging="3402"/>
        <w:jc w:val="left"/>
        <w:rPr>
          <w:i/>
        </w:rPr>
      </w:pPr>
      <w:r w:rsidRPr="001103BA">
        <w:rPr>
          <w:i/>
        </w:rPr>
        <w:t>Date of adoption of Views:</w:t>
      </w:r>
      <w:r w:rsidRPr="001103BA">
        <w:tab/>
      </w:r>
      <w:r w:rsidR="00987EC8">
        <w:t>26 March</w:t>
      </w:r>
      <w:r w:rsidR="00987EC8" w:rsidRPr="001103BA">
        <w:t xml:space="preserve"> </w:t>
      </w:r>
      <w:r w:rsidRPr="001103BA">
        <w:t>201</w:t>
      </w:r>
      <w:r w:rsidR="00735D82">
        <w:t>9</w:t>
      </w:r>
    </w:p>
    <w:p w14:paraId="1039FE86" w14:textId="26337839" w:rsidR="000128E3" w:rsidRPr="001103BA" w:rsidRDefault="000128E3" w:rsidP="00D0355C">
      <w:pPr>
        <w:pStyle w:val="SingleTxtG"/>
        <w:ind w:left="4536" w:hanging="3402"/>
      </w:pPr>
      <w:r w:rsidRPr="001103BA">
        <w:rPr>
          <w:i/>
          <w:iCs/>
        </w:rPr>
        <w:t>Subject matter:</w:t>
      </w:r>
      <w:r w:rsidRPr="001103BA">
        <w:tab/>
      </w:r>
      <w:r w:rsidR="00BD7228">
        <w:t xml:space="preserve">Access of stateless </w:t>
      </w:r>
      <w:r w:rsidR="00BC3411">
        <w:t>individuals</w:t>
      </w:r>
      <w:r w:rsidR="00BD7228">
        <w:t xml:space="preserve"> to child benefits</w:t>
      </w:r>
    </w:p>
    <w:p w14:paraId="1BE61A25" w14:textId="1E8A3716" w:rsidR="000128E3" w:rsidRPr="001103BA" w:rsidRDefault="000128E3" w:rsidP="00D0355C">
      <w:pPr>
        <w:pStyle w:val="SingleTxtG"/>
        <w:ind w:left="4536" w:hanging="3402"/>
      </w:pPr>
      <w:r w:rsidRPr="001103BA">
        <w:rPr>
          <w:i/>
          <w:iCs/>
        </w:rPr>
        <w:t>Procedural issue</w:t>
      </w:r>
      <w:r w:rsidR="007110CE" w:rsidRPr="001103BA">
        <w:rPr>
          <w:i/>
          <w:iCs/>
        </w:rPr>
        <w:t>s</w:t>
      </w:r>
      <w:r w:rsidRPr="001103BA">
        <w:rPr>
          <w:i/>
          <w:iCs/>
        </w:rPr>
        <w:t xml:space="preserve">: </w:t>
      </w:r>
      <w:r w:rsidRPr="001103BA">
        <w:rPr>
          <w:i/>
          <w:iCs/>
        </w:rPr>
        <w:tab/>
      </w:r>
      <w:r w:rsidR="00C83E2E">
        <w:rPr>
          <w:iCs/>
        </w:rPr>
        <w:t>Admissibility – e</w:t>
      </w:r>
      <w:r w:rsidR="00B84D94">
        <w:rPr>
          <w:iCs/>
        </w:rPr>
        <w:t>xhaustion of domestic remedies</w:t>
      </w:r>
    </w:p>
    <w:p w14:paraId="6585D182" w14:textId="4680136D" w:rsidR="000128E3" w:rsidRPr="001103BA" w:rsidRDefault="000128E3" w:rsidP="009A6499">
      <w:pPr>
        <w:pStyle w:val="SingleTxtG"/>
        <w:ind w:left="4536" w:hanging="3402"/>
        <w:jc w:val="left"/>
        <w:rPr>
          <w:lang w:val="en-US"/>
        </w:rPr>
      </w:pPr>
      <w:r w:rsidRPr="001103BA">
        <w:rPr>
          <w:i/>
          <w:iCs/>
        </w:rPr>
        <w:t xml:space="preserve">Substantive issues: </w:t>
      </w:r>
      <w:r w:rsidRPr="001103BA">
        <w:rPr>
          <w:i/>
          <w:iCs/>
        </w:rPr>
        <w:tab/>
      </w:r>
      <w:r w:rsidR="00C96EA4" w:rsidRPr="00BC3411">
        <w:rPr>
          <w:iCs/>
        </w:rPr>
        <w:t xml:space="preserve">Best interest of the child; children’s rights; discrimination; </w:t>
      </w:r>
      <w:r w:rsidR="00527674" w:rsidRPr="00BC3411">
        <w:rPr>
          <w:iCs/>
        </w:rPr>
        <w:t xml:space="preserve">discrimination on other grounds; </w:t>
      </w:r>
      <w:r w:rsidR="00C96EA4" w:rsidRPr="00BC3411">
        <w:rPr>
          <w:iCs/>
          <w:lang w:val="en-US"/>
        </w:rPr>
        <w:t>family rights</w:t>
      </w:r>
      <w:r w:rsidR="00860B10" w:rsidRPr="00BC3411">
        <w:rPr>
          <w:iCs/>
          <w:lang w:val="en-US"/>
        </w:rPr>
        <w:t>; measures of protection; nationality</w:t>
      </w:r>
      <w:r w:rsidR="00DF3D45" w:rsidRPr="00BC3411">
        <w:rPr>
          <w:iCs/>
          <w:lang w:val="en-US"/>
        </w:rPr>
        <w:t>; stateless person</w:t>
      </w:r>
    </w:p>
    <w:p w14:paraId="59C360C9" w14:textId="1B94E42B" w:rsidR="000128E3" w:rsidRPr="001103BA" w:rsidRDefault="000128E3" w:rsidP="007113A4">
      <w:pPr>
        <w:pStyle w:val="SingleTxtG"/>
        <w:ind w:left="4536" w:hanging="3402"/>
        <w:jc w:val="left"/>
      </w:pPr>
      <w:r w:rsidRPr="001103BA">
        <w:rPr>
          <w:i/>
          <w:iCs/>
        </w:rPr>
        <w:t>Articles of the Covenant:</w:t>
      </w:r>
      <w:r w:rsidRPr="001103BA">
        <w:t xml:space="preserve"> </w:t>
      </w:r>
      <w:r w:rsidRPr="001103BA">
        <w:tab/>
      </w:r>
      <w:r w:rsidR="00282E13">
        <w:t>23</w:t>
      </w:r>
      <w:r w:rsidR="00DC130F">
        <w:t xml:space="preserve"> (1)</w:t>
      </w:r>
      <w:r w:rsidR="000453F0">
        <w:t>; 24 (1); 24 (3);</w:t>
      </w:r>
      <w:r w:rsidR="00826527">
        <w:t xml:space="preserve"> and 26, read in conjunction with 23 (1) and 24 (1)</w:t>
      </w:r>
    </w:p>
    <w:p w14:paraId="3764E2D3" w14:textId="7FEB3EDC" w:rsidR="00D53077" w:rsidRDefault="000128E3" w:rsidP="001A7207">
      <w:pPr>
        <w:pStyle w:val="SingleTxtG"/>
        <w:ind w:left="4536" w:hanging="3402"/>
        <w:jc w:val="left"/>
        <w:rPr>
          <w:iCs/>
        </w:rPr>
      </w:pPr>
      <w:r w:rsidRPr="001103BA">
        <w:rPr>
          <w:i/>
          <w:iCs/>
        </w:rPr>
        <w:t>Articles of the Optional Protocol:</w:t>
      </w:r>
      <w:r w:rsidRPr="001103BA">
        <w:rPr>
          <w:i/>
          <w:iCs/>
        </w:rPr>
        <w:tab/>
      </w:r>
      <w:r w:rsidR="00DC130F">
        <w:rPr>
          <w:iCs/>
        </w:rPr>
        <w:t>5 (2)</w:t>
      </w:r>
      <w:r w:rsidR="008E3C21">
        <w:rPr>
          <w:iCs/>
        </w:rPr>
        <w:t xml:space="preserve"> </w:t>
      </w:r>
      <w:r w:rsidR="00DC130F">
        <w:rPr>
          <w:iCs/>
        </w:rPr>
        <w:t>(b)</w:t>
      </w:r>
    </w:p>
    <w:p w14:paraId="7ED7767A" w14:textId="13AB35C0" w:rsidR="00E60B89" w:rsidRDefault="00E60B89">
      <w:pPr>
        <w:suppressAutoHyphens w:val="0"/>
        <w:spacing w:line="240" w:lineRule="auto"/>
        <w:rPr>
          <w:i/>
          <w:iCs/>
        </w:rPr>
      </w:pPr>
      <w:r>
        <w:rPr>
          <w:i/>
          <w:iCs/>
        </w:rPr>
        <w:br w:type="page"/>
      </w:r>
    </w:p>
    <w:p w14:paraId="2AD64111" w14:textId="5DE0B60B" w:rsidR="0074226A" w:rsidRPr="00242D8A" w:rsidRDefault="003129E6" w:rsidP="00F72D0C">
      <w:pPr>
        <w:pStyle w:val="SingleTxtG"/>
        <w:spacing w:before="120"/>
        <w:rPr>
          <w:spacing w:val="-1"/>
        </w:rPr>
      </w:pPr>
      <w:r w:rsidRPr="00242D8A">
        <w:rPr>
          <w:spacing w:val="-1"/>
        </w:rPr>
        <w:lastRenderedPageBreak/>
        <w:t>1.</w:t>
      </w:r>
      <w:r w:rsidR="0074226A" w:rsidRPr="00242D8A">
        <w:rPr>
          <w:spacing w:val="-1"/>
        </w:rPr>
        <w:tab/>
      </w:r>
      <w:r w:rsidR="000128E3" w:rsidRPr="00242D8A">
        <w:rPr>
          <w:spacing w:val="-1"/>
        </w:rPr>
        <w:t>The author of the communication</w:t>
      </w:r>
      <w:r w:rsidR="00922C6C">
        <w:rPr>
          <w:spacing w:val="-1"/>
        </w:rPr>
        <w:t xml:space="preserve">, Ekaterina </w:t>
      </w:r>
      <w:proofErr w:type="spellStart"/>
      <w:r w:rsidR="00922C6C">
        <w:rPr>
          <w:spacing w:val="-1"/>
        </w:rPr>
        <w:t>Abdoellaevna</w:t>
      </w:r>
      <w:proofErr w:type="spellEnd"/>
      <w:r w:rsidR="00922C6C">
        <w:rPr>
          <w:spacing w:val="-1"/>
        </w:rPr>
        <w:t xml:space="preserve">, </w:t>
      </w:r>
      <w:r w:rsidR="006E41EA">
        <w:t xml:space="preserve">was born in </w:t>
      </w:r>
      <w:r w:rsidR="008D7E28">
        <w:t xml:space="preserve">present-day </w:t>
      </w:r>
      <w:r w:rsidR="006E41EA">
        <w:t xml:space="preserve">Uzbekistan on 11 January 1989 and is now stateless. She </w:t>
      </w:r>
      <w:r w:rsidR="00F72D0C">
        <w:t xml:space="preserve">submits the communication on behalf of herself and her </w:t>
      </w:r>
      <w:r w:rsidR="004C468E">
        <w:t xml:space="preserve">minor </w:t>
      </w:r>
      <w:r w:rsidR="00F72D0C">
        <w:t xml:space="preserve">daughter, </w:t>
      </w:r>
      <w:r w:rsidR="009F6B04">
        <w:t>Y</w:t>
      </w:r>
      <w:r w:rsidR="00F72D0C" w:rsidRPr="00F72D0C">
        <w:t xml:space="preserve">, born on 15 May 2008 in </w:t>
      </w:r>
      <w:r w:rsidR="00BF0969">
        <w:t>the Netherlands</w:t>
      </w:r>
      <w:r w:rsidR="00F72D0C">
        <w:t xml:space="preserve">. The author claims </w:t>
      </w:r>
      <w:r w:rsidR="005A1345">
        <w:t>that the Neth</w:t>
      </w:r>
      <w:r w:rsidR="00883948">
        <w:t>erlands has violated her and Y’s rights</w:t>
      </w:r>
      <w:r w:rsidR="005A1345">
        <w:t xml:space="preserve"> under </w:t>
      </w:r>
      <w:r w:rsidR="005A4BE5">
        <w:t xml:space="preserve">articles </w:t>
      </w:r>
      <w:r w:rsidR="00282E13">
        <w:t>23</w:t>
      </w:r>
      <w:r w:rsidR="006C0978">
        <w:t xml:space="preserve"> (1), 24 (3), and 26, read in conjunction with 23 (1) and </w:t>
      </w:r>
      <w:r w:rsidR="00F635BF">
        <w:t>24 (1)</w:t>
      </w:r>
      <w:r w:rsidR="005A4BE5">
        <w:t xml:space="preserve"> of the </w:t>
      </w:r>
      <w:r w:rsidR="00A72D0A">
        <w:t xml:space="preserve">Covenant; and Y’s rights under article 24 (1) of the Covenant. </w:t>
      </w:r>
      <w:proofErr w:type="gramStart"/>
      <w:r w:rsidR="00934813" w:rsidRPr="00242D8A">
        <w:rPr>
          <w:spacing w:val="-1"/>
        </w:rPr>
        <w:t xml:space="preserve">The </w:t>
      </w:r>
      <w:r w:rsidR="00F72D0C">
        <w:rPr>
          <w:spacing w:val="-1"/>
        </w:rPr>
        <w:t>author is</w:t>
      </w:r>
      <w:r w:rsidR="00934813" w:rsidRPr="00242D8A">
        <w:rPr>
          <w:spacing w:val="-1"/>
        </w:rPr>
        <w:t xml:space="preserve"> represented</w:t>
      </w:r>
      <w:r w:rsidR="009A301E" w:rsidRPr="00242D8A">
        <w:rPr>
          <w:spacing w:val="-1"/>
        </w:rPr>
        <w:t xml:space="preserve"> by </w:t>
      </w:r>
      <w:r w:rsidR="00D10734" w:rsidRPr="00242D8A">
        <w:rPr>
          <w:spacing w:val="-1"/>
        </w:rPr>
        <w:t>counsel</w:t>
      </w:r>
      <w:r w:rsidR="00E640B4" w:rsidRPr="00242D8A">
        <w:rPr>
          <w:spacing w:val="-1"/>
        </w:rPr>
        <w:t>,</w:t>
      </w:r>
      <w:r w:rsidR="00506B59" w:rsidRPr="00242D8A">
        <w:rPr>
          <w:spacing w:val="-1"/>
        </w:rPr>
        <w:t xml:space="preserve"> </w:t>
      </w:r>
      <w:r w:rsidR="009D15DB">
        <w:t>W.G. Fischer</w:t>
      </w:r>
      <w:proofErr w:type="gramEnd"/>
      <w:r w:rsidR="009D15DB">
        <w:t>.</w:t>
      </w:r>
      <w:r w:rsidR="00D10734" w:rsidRPr="00242D8A">
        <w:rPr>
          <w:spacing w:val="-1"/>
        </w:rPr>
        <w:t xml:space="preserve"> </w:t>
      </w:r>
      <w:r w:rsidR="009A301E" w:rsidRPr="00242D8A">
        <w:rPr>
          <w:spacing w:val="-1"/>
        </w:rPr>
        <w:t xml:space="preserve">The Optional Protocol </w:t>
      </w:r>
      <w:r w:rsidR="005B293E">
        <w:rPr>
          <w:spacing w:val="-1"/>
        </w:rPr>
        <w:t xml:space="preserve">to the Covenant </w:t>
      </w:r>
      <w:r w:rsidR="009A301E" w:rsidRPr="00242D8A">
        <w:rPr>
          <w:spacing w:val="-1"/>
        </w:rPr>
        <w:t xml:space="preserve">entered into force for </w:t>
      </w:r>
      <w:r w:rsidR="00BF0969">
        <w:t>the Netherlands</w:t>
      </w:r>
      <w:r w:rsidR="00FA559A" w:rsidRPr="00242D8A">
        <w:rPr>
          <w:spacing w:val="-1"/>
        </w:rPr>
        <w:t xml:space="preserve"> </w:t>
      </w:r>
      <w:r w:rsidR="009A301E" w:rsidRPr="00242D8A">
        <w:rPr>
          <w:spacing w:val="-1"/>
        </w:rPr>
        <w:t xml:space="preserve">on </w:t>
      </w:r>
      <w:r w:rsidR="004E6BB5">
        <w:t>11 March 1979</w:t>
      </w:r>
      <w:r w:rsidR="00873DB4">
        <w:t>.</w:t>
      </w:r>
    </w:p>
    <w:p w14:paraId="788B02DD" w14:textId="021B75A1" w:rsidR="000128E3" w:rsidRPr="001103BA" w:rsidRDefault="000128E3" w:rsidP="0074226A">
      <w:pPr>
        <w:pStyle w:val="H23G"/>
        <w:ind w:left="0" w:firstLine="0"/>
      </w:pPr>
      <w:r w:rsidRPr="001103BA">
        <w:tab/>
      </w:r>
      <w:r w:rsidRPr="001103BA">
        <w:tab/>
      </w:r>
      <w:r w:rsidR="006F0678">
        <w:t>Factual background</w:t>
      </w:r>
    </w:p>
    <w:p w14:paraId="399CF70F" w14:textId="25EB83E2" w:rsidR="00E700AD" w:rsidRPr="00E700AD" w:rsidRDefault="00C906E9" w:rsidP="00E700AD">
      <w:pPr>
        <w:pStyle w:val="SingleTxtG"/>
        <w:spacing w:before="120"/>
      </w:pPr>
      <w:r>
        <w:t>2.1</w:t>
      </w:r>
      <w:r>
        <w:tab/>
      </w:r>
      <w:r w:rsidR="00E700AD" w:rsidRPr="00E700AD">
        <w:t xml:space="preserve">In 2000, </w:t>
      </w:r>
      <w:r w:rsidR="00157E96">
        <w:t xml:space="preserve">at the age of 11, the author fled </w:t>
      </w:r>
      <w:r w:rsidR="00F914B2">
        <w:t xml:space="preserve">with her </w:t>
      </w:r>
      <w:r w:rsidR="00B12F51">
        <w:t>family</w:t>
      </w:r>
      <w:r w:rsidR="00F914B2">
        <w:t xml:space="preserve"> from Uzbekistan to the Netherlands.</w:t>
      </w:r>
      <w:r w:rsidR="00E700AD" w:rsidRPr="00E700AD">
        <w:t xml:space="preserve"> On 18 November 2000, the author’s </w:t>
      </w:r>
      <w:r w:rsidR="00C67823">
        <w:t>parents and brother applied for asylum, including on behalf of the author</w:t>
      </w:r>
      <w:r w:rsidR="00E700AD" w:rsidRPr="00E700AD">
        <w:t xml:space="preserve">. </w:t>
      </w:r>
      <w:r w:rsidR="00E03746">
        <w:t>On 6 March 2002, the State Secretary of Justice denied the application</w:t>
      </w:r>
      <w:r w:rsidR="002316DD">
        <w:t xml:space="preserve">. </w:t>
      </w:r>
      <w:r w:rsidR="00FC3570">
        <w:t>A</w:t>
      </w:r>
      <w:r w:rsidR="00E03746">
        <w:t xml:space="preserve">ppeals </w:t>
      </w:r>
      <w:r w:rsidR="00FC3570">
        <w:t xml:space="preserve">of this decision </w:t>
      </w:r>
      <w:r w:rsidR="00E03746">
        <w:t xml:space="preserve">were </w:t>
      </w:r>
      <w:r w:rsidR="008D4D1D">
        <w:t>declared unfounded</w:t>
      </w:r>
      <w:r w:rsidR="00E03746">
        <w:t xml:space="preserve"> by the District Court of The Hague </w:t>
      </w:r>
      <w:r w:rsidR="00057EC6">
        <w:t xml:space="preserve">on 12 October 2004 </w:t>
      </w:r>
      <w:r w:rsidR="00E03746">
        <w:t>and then by the Administrative High Court on 9 March 2005</w:t>
      </w:r>
      <w:r w:rsidR="00E700AD">
        <w:t>.</w:t>
      </w:r>
      <w:r w:rsidR="00E700AD" w:rsidRPr="00E700AD">
        <w:t xml:space="preserve"> </w:t>
      </w:r>
    </w:p>
    <w:p w14:paraId="6A911088" w14:textId="48DDF44C" w:rsidR="003359B7" w:rsidRDefault="00E700AD" w:rsidP="00AE7EB5">
      <w:pPr>
        <w:pStyle w:val="SingleTxtG"/>
        <w:spacing w:before="120"/>
      </w:pPr>
      <w:r w:rsidRPr="00E700AD">
        <w:t>2.2</w:t>
      </w:r>
      <w:r w:rsidRPr="00E700AD">
        <w:tab/>
      </w:r>
      <w:r w:rsidR="0038593A">
        <w:t>Subsequently</w:t>
      </w:r>
      <w:r w:rsidR="000D11D4">
        <w:t xml:space="preserve">, the </w:t>
      </w:r>
      <w:r w:rsidR="00BB2628">
        <w:t xml:space="preserve">author and her family left for Norway and applied for asylum there. Shortly thereafter, they </w:t>
      </w:r>
      <w:proofErr w:type="gramStart"/>
      <w:r w:rsidR="00BB2628">
        <w:t>were returned</w:t>
      </w:r>
      <w:proofErr w:type="gramEnd"/>
      <w:r w:rsidR="00BB2628">
        <w:t xml:space="preserve"> to the Netherlands</w:t>
      </w:r>
      <w:r w:rsidRPr="00E700AD">
        <w:t>. On 18 September 2006, t</w:t>
      </w:r>
      <w:r w:rsidR="009804B3">
        <w:t xml:space="preserve">he author applied in her own name </w:t>
      </w:r>
      <w:r w:rsidRPr="00E700AD">
        <w:t>for a</w:t>
      </w:r>
      <w:r w:rsidR="000D11D4">
        <w:t xml:space="preserve">sylum </w:t>
      </w:r>
      <w:r w:rsidR="00CF5EB3">
        <w:t>in the Netherlands</w:t>
      </w:r>
      <w:r w:rsidR="008B2E17">
        <w:t>.</w:t>
      </w:r>
      <w:r w:rsidR="00B12F51">
        <w:rPr>
          <w:rStyle w:val="FootnoteReference"/>
        </w:rPr>
        <w:t xml:space="preserve"> </w:t>
      </w:r>
      <w:r w:rsidR="008B2E17">
        <w:t xml:space="preserve">On 19 September 2006 and 4 January 2007, </w:t>
      </w:r>
      <w:proofErr w:type="gramStart"/>
      <w:r w:rsidR="008B2E17">
        <w:t>she was interviewed by Immigration Services</w:t>
      </w:r>
      <w:proofErr w:type="gramEnd"/>
      <w:r w:rsidR="008B2E17">
        <w:t xml:space="preserve">. </w:t>
      </w:r>
      <w:r w:rsidR="0064532A" w:rsidRPr="00E700AD">
        <w:t>On 15 May 2008</w:t>
      </w:r>
      <w:r w:rsidR="0064532A">
        <w:t>,</w:t>
      </w:r>
      <w:r w:rsidR="0064532A" w:rsidRPr="00E700AD">
        <w:t xml:space="preserve"> </w:t>
      </w:r>
      <w:r w:rsidR="00126D30">
        <w:t xml:space="preserve">Y </w:t>
      </w:r>
      <w:r w:rsidR="0064532A" w:rsidRPr="00E700AD">
        <w:t xml:space="preserve">was born. </w:t>
      </w:r>
      <w:r w:rsidR="00070D24">
        <w:t>On 3 July 2008, the State Secretary of Justice denied the author’s asylum application</w:t>
      </w:r>
      <w:r w:rsidR="00E8022B">
        <w:t>.</w:t>
      </w:r>
      <w:r w:rsidR="00070D24">
        <w:t xml:space="preserve"> </w:t>
      </w:r>
      <w:r w:rsidR="008559A0">
        <w:t>In 2009</w:t>
      </w:r>
      <w:r w:rsidR="003359B7">
        <w:t xml:space="preserve">, the District Court of The Hague </w:t>
      </w:r>
      <w:r w:rsidR="008559A0">
        <w:t xml:space="preserve">rejected her appeal as unfounded, </w:t>
      </w:r>
      <w:r w:rsidR="003359B7">
        <w:t>and t</w:t>
      </w:r>
      <w:r w:rsidR="00070D24">
        <w:t>he author did not appeal further</w:t>
      </w:r>
      <w:r w:rsidR="00B50391">
        <w:t xml:space="preserve">. </w:t>
      </w:r>
    </w:p>
    <w:p w14:paraId="55BEDAE2" w14:textId="3987E42D" w:rsidR="00E700AD" w:rsidRPr="00E700AD" w:rsidRDefault="003359B7" w:rsidP="00AE7EB5">
      <w:pPr>
        <w:pStyle w:val="SingleTxtG"/>
        <w:spacing w:before="120"/>
      </w:pPr>
      <w:r>
        <w:t>2.3</w:t>
      </w:r>
      <w:r>
        <w:tab/>
      </w:r>
      <w:r w:rsidR="00124D13">
        <w:t>O</w:t>
      </w:r>
      <w:r w:rsidR="00B50391">
        <w:t xml:space="preserve">n 24 March 2009, </w:t>
      </w:r>
      <w:r w:rsidR="00124D13">
        <w:t xml:space="preserve">the State Secretary of Justice denied the author’s application for relief under the </w:t>
      </w:r>
      <w:r w:rsidR="003D083F">
        <w:t>RANOV amnesty scheme</w:t>
      </w:r>
      <w:r w:rsidR="00292EF5">
        <w:t>.</w:t>
      </w:r>
      <w:r w:rsidR="000E653A">
        <w:rPr>
          <w:rStyle w:val="CommentReference"/>
        </w:rPr>
        <w:t xml:space="preserve"> </w:t>
      </w:r>
      <w:r w:rsidR="000E653A">
        <w:t>H</w:t>
      </w:r>
      <w:r w:rsidR="00124D13">
        <w:t xml:space="preserve">owever, on 5 February 2010, the District Court of The Hague voided the latter decision, and deemed that the author’s application was </w:t>
      </w:r>
      <w:proofErr w:type="gramStart"/>
      <w:r w:rsidR="00B50391">
        <w:t>well-founded</w:t>
      </w:r>
      <w:proofErr w:type="gramEnd"/>
      <w:r w:rsidR="00B50391">
        <w:t>.</w:t>
      </w:r>
      <w:r w:rsidR="00124D13">
        <w:t xml:space="preserve"> </w:t>
      </w:r>
      <w:r w:rsidR="00B50391">
        <w:t>As a re</w:t>
      </w:r>
      <w:r w:rsidR="00527D99">
        <w:t xml:space="preserve">sult, </w:t>
      </w:r>
      <w:proofErr w:type="gramStart"/>
      <w:r w:rsidR="00527D99">
        <w:t xml:space="preserve">she was permitted </w:t>
      </w:r>
      <w:r w:rsidR="00B50391">
        <w:t>to s</w:t>
      </w:r>
      <w:r w:rsidR="0056564F">
        <w:t>tay in the Netherlands pending the</w:t>
      </w:r>
      <w:r w:rsidR="00AB1C1B">
        <w:t xml:space="preserve"> appeal</w:t>
      </w:r>
      <w:r w:rsidR="00CA5B39">
        <w:t xml:space="preserve"> of this</w:t>
      </w:r>
      <w:r w:rsidR="00A00238">
        <w:t xml:space="preserve"> decision</w:t>
      </w:r>
      <w:r w:rsidR="00AB1C1B">
        <w:t xml:space="preserve"> </w:t>
      </w:r>
      <w:r w:rsidR="00AB1C1B" w:rsidRPr="00595681">
        <w:t>by the</w:t>
      </w:r>
      <w:r w:rsidR="0056564F" w:rsidRPr="00595681">
        <w:t xml:space="preserve"> </w:t>
      </w:r>
      <w:r w:rsidR="00B00E6F" w:rsidRPr="00595681">
        <w:t>State Secretary</w:t>
      </w:r>
      <w:r w:rsidR="00AB1C1B" w:rsidRPr="00595681">
        <w:t xml:space="preserve"> of Justice</w:t>
      </w:r>
      <w:proofErr w:type="gramEnd"/>
      <w:r w:rsidR="00527D99" w:rsidRPr="00595681">
        <w:t>.</w:t>
      </w:r>
      <w:r w:rsidR="005B2580">
        <w:t xml:space="preserve"> O</w:t>
      </w:r>
      <w:r w:rsidR="00AF394D">
        <w:t xml:space="preserve">n 12 November 2010, the Council of State </w:t>
      </w:r>
      <w:r w:rsidR="00B00E6F">
        <w:t>voided the</w:t>
      </w:r>
      <w:r w:rsidR="0056564F">
        <w:t xml:space="preserve"> </w:t>
      </w:r>
      <w:r w:rsidR="0030174E">
        <w:t>decision of the District Court</w:t>
      </w:r>
      <w:r w:rsidR="0056564F">
        <w:t xml:space="preserve">. </w:t>
      </w:r>
    </w:p>
    <w:p w14:paraId="15DFE12D" w14:textId="29E4205C" w:rsidR="00E700AD" w:rsidRPr="00E700AD" w:rsidRDefault="00E700AD" w:rsidP="00E700AD">
      <w:pPr>
        <w:pStyle w:val="SingleTxtG"/>
        <w:spacing w:before="120"/>
      </w:pPr>
      <w:r w:rsidRPr="00E700AD">
        <w:t>2.</w:t>
      </w:r>
      <w:r w:rsidR="005E0B3B">
        <w:t>4</w:t>
      </w:r>
      <w:r w:rsidRPr="00E700AD">
        <w:tab/>
        <w:t>On an unspecified date, the author rented a place to live</w:t>
      </w:r>
      <w:r w:rsidR="00644858">
        <w:t xml:space="preserve"> in The Hague</w:t>
      </w:r>
      <w:r w:rsidR="006761F7">
        <w:t xml:space="preserve">; </w:t>
      </w:r>
      <w:proofErr w:type="gramStart"/>
      <w:r w:rsidR="006761F7">
        <w:t>the rent was paid for by third parties</w:t>
      </w:r>
      <w:proofErr w:type="gramEnd"/>
      <w:r w:rsidRPr="00E700AD">
        <w:t>.</w:t>
      </w:r>
      <w:r w:rsidR="005A001B">
        <w:t xml:space="preserve"> Initially, she lived alone, and her parents and brother joined her after their eviction from an asylum centre.</w:t>
      </w:r>
      <w:r w:rsidRPr="00E700AD">
        <w:t xml:space="preserve"> </w:t>
      </w:r>
      <w:r w:rsidR="00354B3F">
        <w:t xml:space="preserve">Neither she nor her family </w:t>
      </w:r>
      <w:r w:rsidR="005A001B">
        <w:t>members have</w:t>
      </w:r>
      <w:r w:rsidRPr="00E700AD">
        <w:t xml:space="preserve"> a </w:t>
      </w:r>
      <w:r w:rsidR="00F86FEF">
        <w:t xml:space="preserve">work permit or access to social benefits due to </w:t>
      </w:r>
      <w:r w:rsidR="00CE204D">
        <w:t>a law establishing the so-called</w:t>
      </w:r>
      <w:r w:rsidR="00F86FEF">
        <w:t xml:space="preserve"> Linkage </w:t>
      </w:r>
      <w:r w:rsidR="00CE204D">
        <w:t>Principle. Under this principle</w:t>
      </w:r>
      <w:r w:rsidR="00F86FEF">
        <w:t>, access to social services is contingent upon possession of a residence permit.</w:t>
      </w:r>
      <w:r w:rsidR="004C12F4">
        <w:t xml:space="preserve"> The author and her family </w:t>
      </w:r>
      <w:r w:rsidR="00B804B2">
        <w:t>depended</w:t>
      </w:r>
      <w:r w:rsidR="00354B3F">
        <w:t xml:space="preserve"> on </w:t>
      </w:r>
      <w:r w:rsidR="004C12F4">
        <w:t>others for food, housing and clothing</w:t>
      </w:r>
      <w:r w:rsidR="00354B3F">
        <w:t>.</w:t>
      </w:r>
    </w:p>
    <w:p w14:paraId="48CE435B" w14:textId="7164262A" w:rsidR="00E700AD" w:rsidRPr="00E700AD" w:rsidRDefault="00E700AD" w:rsidP="00E700AD">
      <w:pPr>
        <w:pStyle w:val="SingleTxtG"/>
        <w:spacing w:before="120"/>
      </w:pPr>
      <w:r w:rsidRPr="00E700AD">
        <w:t>2.</w:t>
      </w:r>
      <w:r w:rsidR="005E0B3B">
        <w:t>5</w:t>
      </w:r>
      <w:r w:rsidRPr="00E700AD">
        <w:tab/>
        <w:t xml:space="preserve">On 14 April 2009, </w:t>
      </w:r>
      <w:r w:rsidR="0064760F">
        <w:t xml:space="preserve">the author </w:t>
      </w:r>
      <w:r w:rsidR="00440DDF">
        <w:t>received an official notification</w:t>
      </w:r>
      <w:r w:rsidRPr="00E700AD">
        <w:t xml:space="preserve"> </w:t>
      </w:r>
      <w:r w:rsidR="0064760F">
        <w:t>that she had lost her Uzbek citizenship because she had not registered with the Uzbek Embassy within fiv</w:t>
      </w:r>
      <w:r w:rsidR="009F424E">
        <w:t>e years of leaving the country.</w:t>
      </w:r>
      <w:r w:rsidR="00EF471B">
        <w:rPr>
          <w:rStyle w:val="FootnoteReference"/>
        </w:rPr>
        <w:footnoteReference w:id="5"/>
      </w:r>
      <w:r w:rsidR="009F424E">
        <w:t xml:space="preserve"> </w:t>
      </w:r>
      <w:r w:rsidRPr="00E700AD">
        <w:t xml:space="preserve">The author attempted to leave </w:t>
      </w:r>
      <w:r w:rsidR="00BF0969">
        <w:t>the Netherlands</w:t>
      </w:r>
      <w:r w:rsidRPr="00E700AD">
        <w:t xml:space="preserve"> and </w:t>
      </w:r>
      <w:r w:rsidR="0064760F">
        <w:t>return</w:t>
      </w:r>
      <w:r w:rsidR="008A64C7">
        <w:t xml:space="preserve"> to Uzbekistan, including with the assistance o</w:t>
      </w:r>
      <w:r w:rsidRPr="00E700AD">
        <w:t>f the Repatria</w:t>
      </w:r>
      <w:r w:rsidR="00ED041D">
        <w:t xml:space="preserve">tion and Departure Service </w:t>
      </w:r>
      <w:r w:rsidRPr="00E700AD">
        <w:t xml:space="preserve">of </w:t>
      </w:r>
      <w:r w:rsidR="00BF0969">
        <w:t>the Netherlands</w:t>
      </w:r>
      <w:r w:rsidR="002F18F8">
        <w:t>.</w:t>
      </w:r>
      <w:r w:rsidRPr="00E700AD">
        <w:t xml:space="preserve"> However, the Uzbek authorities refused to issue </w:t>
      </w:r>
      <w:r w:rsidR="00EB11EC">
        <w:t xml:space="preserve">to the author </w:t>
      </w:r>
      <w:r w:rsidRPr="00E700AD">
        <w:t>a certificate of return or travel documents.</w:t>
      </w:r>
      <w:r w:rsidR="00112F9A" w:rsidRPr="00112F9A">
        <w:t xml:space="preserve"> </w:t>
      </w:r>
      <w:r w:rsidR="00112F9A">
        <w:t xml:space="preserve">The author maintains that the Repatriation and Departure Service </w:t>
      </w:r>
      <w:proofErr w:type="gramStart"/>
      <w:r w:rsidR="00112F9A">
        <w:t>was notified</w:t>
      </w:r>
      <w:proofErr w:type="gramEnd"/>
      <w:r w:rsidR="00112F9A">
        <w:t xml:space="preserve"> of the author’s loss of Uzbek nationality in October 2009.</w:t>
      </w:r>
    </w:p>
    <w:p w14:paraId="0B5020B7" w14:textId="1CAB3B61" w:rsidR="00A41460" w:rsidRDefault="00E700AD" w:rsidP="00E700AD">
      <w:pPr>
        <w:pStyle w:val="SingleTxtG"/>
        <w:spacing w:before="120"/>
      </w:pPr>
      <w:r w:rsidRPr="00E700AD">
        <w:t>2.</w:t>
      </w:r>
      <w:r w:rsidR="00F355F3">
        <w:t>6</w:t>
      </w:r>
      <w:r w:rsidR="00E60B89">
        <w:tab/>
      </w:r>
      <w:r w:rsidR="00595681">
        <w:t>In 2011</w:t>
      </w:r>
      <w:r w:rsidR="00FB79EA">
        <w:t xml:space="preserve"> and 2012</w:t>
      </w:r>
      <w:r w:rsidR="00595681">
        <w:t xml:space="preserve">, </w:t>
      </w:r>
      <w:r w:rsidRPr="00E700AD">
        <w:t xml:space="preserve">the author submitted </w:t>
      </w:r>
      <w:r w:rsidR="00613F37">
        <w:t>various</w:t>
      </w:r>
      <w:r w:rsidRPr="00E700AD">
        <w:t xml:space="preserve"> applications for </w:t>
      </w:r>
      <w:r w:rsidR="00756F12">
        <w:t>housing</w:t>
      </w:r>
      <w:r w:rsidRPr="00E700AD">
        <w:t xml:space="preserve">, social and </w:t>
      </w:r>
      <w:r w:rsidR="0064760F">
        <w:t>child</w:t>
      </w:r>
      <w:r w:rsidRPr="00E700AD">
        <w:t xml:space="preserve"> benefits</w:t>
      </w:r>
      <w:r w:rsidR="00595681">
        <w:t>. Specifically, on 14 June 2011, she applied to the municipality of The Hague for shelter and social assistance</w:t>
      </w:r>
      <w:r w:rsidR="00101CC3">
        <w:t>. I</w:t>
      </w:r>
      <w:r w:rsidR="00A41460">
        <w:t xml:space="preserve">n July 2011, </w:t>
      </w:r>
      <w:r w:rsidR="00101CC3">
        <w:t>these</w:t>
      </w:r>
      <w:r w:rsidR="00A41460">
        <w:t xml:space="preserve"> applications </w:t>
      </w:r>
      <w:proofErr w:type="gramStart"/>
      <w:r w:rsidR="00A41460">
        <w:t>were rejected</w:t>
      </w:r>
      <w:proofErr w:type="gramEnd"/>
      <w:r w:rsidR="00A41460">
        <w:t xml:space="preserve">, and on 18 July 2012, the District Court rejected </w:t>
      </w:r>
      <w:r w:rsidR="00143165">
        <w:t>the author’s</w:t>
      </w:r>
      <w:r w:rsidR="00A41460">
        <w:t xml:space="preserve"> appeal. </w:t>
      </w:r>
      <w:r w:rsidR="00A41460" w:rsidRPr="00567CE1">
        <w:t xml:space="preserve">Her appeal regarding her application for shelter was pending before the Administrative High Court at the time the </w:t>
      </w:r>
      <w:r w:rsidR="003A37BE" w:rsidRPr="00567CE1">
        <w:t xml:space="preserve">present communication </w:t>
      </w:r>
      <w:proofErr w:type="gramStart"/>
      <w:r w:rsidR="003A37BE" w:rsidRPr="00567CE1">
        <w:t>was submitted</w:t>
      </w:r>
      <w:proofErr w:type="gramEnd"/>
      <w:r w:rsidR="003A37BE" w:rsidRPr="00567CE1">
        <w:t>.</w:t>
      </w:r>
      <w:r w:rsidR="00A41460" w:rsidRPr="00567CE1">
        <w:t xml:space="preserve"> </w:t>
      </w:r>
      <w:r w:rsidR="009E6489" w:rsidRPr="00567CE1">
        <w:t>I</w:t>
      </w:r>
      <w:r w:rsidR="009E6489">
        <w:t xml:space="preserve">n addition, on 3 April 2014, the author </w:t>
      </w:r>
      <w:r w:rsidR="002D6E06">
        <w:t>applied to the State Secretary for</w:t>
      </w:r>
      <w:r w:rsidR="009E6489">
        <w:t xml:space="preserve"> shelter</w:t>
      </w:r>
      <w:r w:rsidR="000C402F">
        <w:t xml:space="preserve">. On 22 April 2015, </w:t>
      </w:r>
      <w:r w:rsidR="00EA0972">
        <w:t xml:space="preserve">this application was denied, and </w:t>
      </w:r>
      <w:r w:rsidR="00490AC7">
        <w:t xml:space="preserve">on 25 January and 23 March 2016, </w:t>
      </w:r>
      <w:r w:rsidR="00EA0972">
        <w:t>the author’s subsequent appeal</w:t>
      </w:r>
      <w:r w:rsidR="00FF442F">
        <w:t>s</w:t>
      </w:r>
      <w:r w:rsidR="00EA0972">
        <w:t xml:space="preserve"> </w:t>
      </w:r>
      <w:r w:rsidR="00FF442F">
        <w:t>were</w:t>
      </w:r>
      <w:r w:rsidR="00EA0972">
        <w:t xml:space="preserve"> </w:t>
      </w:r>
      <w:r w:rsidR="004E3E60">
        <w:t>deemed</w:t>
      </w:r>
      <w:r w:rsidR="00490AC7">
        <w:t xml:space="preserve"> to be</w:t>
      </w:r>
      <w:r w:rsidR="004E3E60">
        <w:t xml:space="preserve"> </w:t>
      </w:r>
      <w:proofErr w:type="gramStart"/>
      <w:r w:rsidR="004E3E60">
        <w:t>ill-founded</w:t>
      </w:r>
      <w:proofErr w:type="gramEnd"/>
      <w:r w:rsidR="009E6489">
        <w:t xml:space="preserve">. Within the same month, the author and her family </w:t>
      </w:r>
      <w:proofErr w:type="gramStart"/>
      <w:r w:rsidR="009E6489">
        <w:t>were offered</w:t>
      </w:r>
      <w:proofErr w:type="gramEnd"/>
      <w:r w:rsidR="00C6657C">
        <w:t xml:space="preserve"> shelter by</w:t>
      </w:r>
      <w:r w:rsidR="00D34326">
        <w:t xml:space="preserve"> the State Secretary, but it ha</w:t>
      </w:r>
      <w:r w:rsidR="009E6489">
        <w:t xml:space="preserve">s only </w:t>
      </w:r>
      <w:r w:rsidR="00D34326">
        <w:t>facilities that</w:t>
      </w:r>
      <w:r w:rsidR="009E6489">
        <w:t xml:space="preserve"> are </w:t>
      </w:r>
      <w:r w:rsidR="008F5432">
        <w:t>necessary</w:t>
      </w:r>
      <w:r w:rsidR="009E6489">
        <w:t xml:space="preserve">. </w:t>
      </w:r>
    </w:p>
    <w:p w14:paraId="6923E0D0" w14:textId="222D4961" w:rsidR="00FB79EA" w:rsidRDefault="009E6489" w:rsidP="00FB79EA">
      <w:pPr>
        <w:pStyle w:val="SingleTxtG"/>
        <w:spacing w:before="120"/>
      </w:pPr>
      <w:r>
        <w:lastRenderedPageBreak/>
        <w:t>2.7</w:t>
      </w:r>
      <w:r>
        <w:tab/>
        <w:t xml:space="preserve">On 14 June 2011, the author also applied to the Central Agency for the Reception of Asylum Seekers for shelter and social assistance. </w:t>
      </w:r>
      <w:r w:rsidR="00FB79EA">
        <w:t xml:space="preserve">The application </w:t>
      </w:r>
      <w:proofErr w:type="gramStart"/>
      <w:r w:rsidR="00FB79EA">
        <w:t>was denied</w:t>
      </w:r>
      <w:proofErr w:type="gramEnd"/>
      <w:r w:rsidR="00FB79EA">
        <w:t xml:space="preserve">, and on 19 December 2012, the Administrative Jurisdiction Division of the Council of State upheld the lower court’s decision finding that there was no obligation under international law to provide shelter for stateless persons, including minors. This decision </w:t>
      </w:r>
      <w:proofErr w:type="gramStart"/>
      <w:r w:rsidR="008F5EEA">
        <w:t>can</w:t>
      </w:r>
      <w:r w:rsidR="00FB79EA">
        <w:t>not be appealed</w:t>
      </w:r>
      <w:proofErr w:type="gramEnd"/>
      <w:r w:rsidR="00FB79EA">
        <w:t>.</w:t>
      </w:r>
    </w:p>
    <w:p w14:paraId="6AD90F56" w14:textId="7011C051" w:rsidR="00FB79EA" w:rsidRDefault="00FB79EA" w:rsidP="00FB79EA">
      <w:pPr>
        <w:pStyle w:val="SingleTxtG"/>
        <w:spacing w:before="120"/>
      </w:pPr>
      <w:r>
        <w:t>2.8</w:t>
      </w:r>
      <w:r>
        <w:tab/>
        <w:t xml:space="preserve">On 9 February 2012, the author applied to the Central Agency for the Reception of Asylum Seekers for </w:t>
      </w:r>
      <w:r w:rsidR="005A7F28">
        <w:t>“</w:t>
      </w:r>
      <w:r>
        <w:t>monies</w:t>
      </w:r>
      <w:r w:rsidR="005A7F28">
        <w:t>”</w:t>
      </w:r>
      <w:r>
        <w:t xml:space="preserve"> for </w:t>
      </w:r>
      <w:r w:rsidR="00126D30">
        <w:t>Y</w:t>
      </w:r>
      <w:r>
        <w:t xml:space="preserve">. The application </w:t>
      </w:r>
      <w:proofErr w:type="gramStart"/>
      <w:r>
        <w:t>was denied</w:t>
      </w:r>
      <w:proofErr w:type="gramEnd"/>
      <w:r>
        <w:t>, and on 5 October 2012, the Administrative Jurisdiction Division of the Council of State</w:t>
      </w:r>
      <w:r w:rsidR="003E4563">
        <w:t xml:space="preserve"> rejected her appeal of the decision denying her application</w:t>
      </w:r>
      <w:r>
        <w:t>.</w:t>
      </w:r>
    </w:p>
    <w:p w14:paraId="4E136D95" w14:textId="740BD996" w:rsidR="00E700AD" w:rsidRPr="00EE2C91" w:rsidRDefault="00FB79EA" w:rsidP="00EE2C91">
      <w:pPr>
        <w:pStyle w:val="SingleTxtG"/>
        <w:spacing w:before="120"/>
        <w:rPr>
          <w:highlight w:val="yellow"/>
        </w:rPr>
      </w:pPr>
      <w:r>
        <w:t>2.9</w:t>
      </w:r>
      <w:r>
        <w:tab/>
        <w:t xml:space="preserve">On 15 June 2011, the author applied to the organization that implements national insurance schemes in the Netherlands, the </w:t>
      </w:r>
      <w:proofErr w:type="spellStart"/>
      <w:r w:rsidRPr="00D1174B">
        <w:rPr>
          <w:i/>
        </w:rPr>
        <w:t>Sociale</w:t>
      </w:r>
      <w:proofErr w:type="spellEnd"/>
      <w:r w:rsidRPr="00D1174B">
        <w:rPr>
          <w:i/>
        </w:rPr>
        <w:t xml:space="preserve"> </w:t>
      </w:r>
      <w:proofErr w:type="spellStart"/>
      <w:r w:rsidRPr="00D1174B">
        <w:rPr>
          <w:i/>
        </w:rPr>
        <w:t>Verzekeringsbank</w:t>
      </w:r>
      <w:proofErr w:type="spellEnd"/>
      <w:r>
        <w:t>, for general (non-means tested) child benefits</w:t>
      </w:r>
      <w:r w:rsidR="001E148D">
        <w:t xml:space="preserve"> (</w:t>
      </w:r>
      <w:proofErr w:type="spellStart"/>
      <w:r w:rsidR="001E148D" w:rsidRPr="001E148D">
        <w:rPr>
          <w:i/>
        </w:rPr>
        <w:t>kinderbijslag</w:t>
      </w:r>
      <w:proofErr w:type="spellEnd"/>
      <w:r w:rsidR="001E148D">
        <w:t>)</w:t>
      </w:r>
      <w:r>
        <w:t xml:space="preserve">. </w:t>
      </w:r>
      <w:r w:rsidR="00EE2C91">
        <w:t>On 13 June 2012, h</w:t>
      </w:r>
      <w:r>
        <w:t xml:space="preserve">er application </w:t>
      </w:r>
      <w:proofErr w:type="gramStart"/>
      <w:r>
        <w:t>was denied</w:t>
      </w:r>
      <w:proofErr w:type="gramEnd"/>
      <w:r>
        <w:t>,</w:t>
      </w:r>
      <w:r w:rsidR="00810588">
        <w:rPr>
          <w:rStyle w:val="FootnoteReference"/>
        </w:rPr>
        <w:footnoteReference w:id="6"/>
      </w:r>
      <w:r>
        <w:t xml:space="preserve"> and on 10 April 2013, the District Court of The Hague deemed her appeal </w:t>
      </w:r>
      <w:r w:rsidR="00EE2C91">
        <w:t xml:space="preserve">of the decision </w:t>
      </w:r>
      <w:r>
        <w:t xml:space="preserve">unfounded. </w:t>
      </w:r>
      <w:r w:rsidR="000312B0" w:rsidRPr="00CC766C">
        <w:t>The author’s appeal of this decision</w:t>
      </w:r>
      <w:r w:rsidR="00A653D6" w:rsidRPr="00CC766C">
        <w:t>, submitted on an unspecified date,</w:t>
      </w:r>
      <w:r w:rsidR="000312B0" w:rsidRPr="00CC766C">
        <w:t xml:space="preserve"> </w:t>
      </w:r>
      <w:r w:rsidR="003E6942" w:rsidRPr="00CC766C">
        <w:t xml:space="preserve">was pending at the time the communication </w:t>
      </w:r>
      <w:proofErr w:type="gramStart"/>
      <w:r w:rsidR="003E6942" w:rsidRPr="00CC766C">
        <w:t>was submitted</w:t>
      </w:r>
      <w:proofErr w:type="gramEnd"/>
      <w:r w:rsidRPr="00CC766C">
        <w:t>.</w:t>
      </w:r>
      <w:r>
        <w:t xml:space="preserve"> </w:t>
      </w:r>
    </w:p>
    <w:p w14:paraId="127DDEB6" w14:textId="7CA0EAC9" w:rsidR="00E700AD" w:rsidRPr="00E700AD" w:rsidRDefault="00E700AD" w:rsidP="00E700AD">
      <w:pPr>
        <w:pStyle w:val="SingleTxtG"/>
        <w:spacing w:before="120"/>
      </w:pPr>
      <w:r w:rsidRPr="00E700AD">
        <w:t>2.</w:t>
      </w:r>
      <w:r w:rsidR="0040520B">
        <w:t>10</w:t>
      </w:r>
      <w:r w:rsidR="00FB079A">
        <w:tab/>
      </w:r>
      <w:r w:rsidRPr="00E700AD">
        <w:t xml:space="preserve">On 15 June 2011, the author </w:t>
      </w:r>
      <w:r w:rsidR="005961C1">
        <w:t xml:space="preserve">also </w:t>
      </w:r>
      <w:r w:rsidR="00EE2C91">
        <w:t>applied</w:t>
      </w:r>
      <w:r w:rsidRPr="00E700AD">
        <w:t xml:space="preserve"> </w:t>
      </w:r>
      <w:r w:rsidR="00102C06">
        <w:t>to</w:t>
      </w:r>
      <w:r w:rsidRPr="00E700AD">
        <w:t xml:space="preserve"> the Benefits </w:t>
      </w:r>
      <w:r w:rsidR="00102C06">
        <w:t>S</w:t>
      </w:r>
      <w:r w:rsidRPr="00E700AD">
        <w:t xml:space="preserve">ection of the Tax Service </w:t>
      </w:r>
      <w:r w:rsidR="00102C06">
        <w:t xml:space="preserve">for </w:t>
      </w:r>
      <w:r w:rsidR="00B80187">
        <w:t xml:space="preserve">a </w:t>
      </w:r>
      <w:r w:rsidR="001E148D">
        <w:t xml:space="preserve">(means tested) </w:t>
      </w:r>
      <w:r w:rsidR="00356255">
        <w:t>child</w:t>
      </w:r>
      <w:r w:rsidR="006D2696">
        <w:t xml:space="preserve"> budget</w:t>
      </w:r>
      <w:r w:rsidR="001E148D">
        <w:t xml:space="preserve"> (</w:t>
      </w:r>
      <w:proofErr w:type="spellStart"/>
      <w:r w:rsidR="001E148D" w:rsidRPr="001E148D">
        <w:rPr>
          <w:i/>
        </w:rPr>
        <w:t>kindgebonden</w:t>
      </w:r>
      <w:proofErr w:type="spellEnd"/>
      <w:r w:rsidR="001E148D" w:rsidRPr="001E148D">
        <w:rPr>
          <w:i/>
        </w:rPr>
        <w:t xml:space="preserve"> budget</w:t>
      </w:r>
      <w:r w:rsidR="001E148D">
        <w:t>)</w:t>
      </w:r>
      <w:r w:rsidRPr="006238C8">
        <w:t xml:space="preserve">. </w:t>
      </w:r>
      <w:r w:rsidR="00EE2C91" w:rsidRPr="006238C8">
        <w:t>On 13 June 2012,</w:t>
      </w:r>
      <w:r w:rsidR="00F03C44" w:rsidRPr="006238C8">
        <w:t xml:space="preserve"> the Tax Authorities/Allowances rejected</w:t>
      </w:r>
      <w:r w:rsidR="00EE2C91" w:rsidRPr="006238C8">
        <w:t xml:space="preserve"> </w:t>
      </w:r>
      <w:r w:rsidR="00F03C44" w:rsidRPr="006238C8">
        <w:t xml:space="preserve">her application. </w:t>
      </w:r>
      <w:r w:rsidRPr="006238C8">
        <w:t>T</w:t>
      </w:r>
      <w:r w:rsidRPr="00E700AD">
        <w:t xml:space="preserve">he author </w:t>
      </w:r>
      <w:r w:rsidR="00341742">
        <w:t>objected to</w:t>
      </w:r>
      <w:r w:rsidR="00102C06">
        <w:t xml:space="preserve"> the</w:t>
      </w:r>
      <w:r w:rsidR="0084320C">
        <w:t xml:space="preserve"> decision, arguing that the denial of the benefits constituted a violation of the Convention on the Rights of the </w:t>
      </w:r>
      <w:r w:rsidR="00A9645B">
        <w:t>Child, and of article 8 of the European Convention on Human Rights</w:t>
      </w:r>
      <w:r w:rsidR="00396FA6">
        <w:t xml:space="preserve">. </w:t>
      </w:r>
      <w:r w:rsidRPr="00E700AD">
        <w:t xml:space="preserve">On 27 August 2012, the </w:t>
      </w:r>
      <w:r w:rsidR="00B33D8D">
        <w:t>Tax Authorities/Allowances</w:t>
      </w:r>
      <w:r w:rsidRPr="00E700AD">
        <w:t xml:space="preserve"> </w:t>
      </w:r>
      <w:r w:rsidR="00341742">
        <w:t>dismissed</w:t>
      </w:r>
      <w:r w:rsidRPr="00E700AD">
        <w:t xml:space="preserve"> </w:t>
      </w:r>
      <w:r w:rsidR="00102C06">
        <w:t>the author’s</w:t>
      </w:r>
      <w:r w:rsidRPr="00E700AD">
        <w:t xml:space="preserve"> </w:t>
      </w:r>
      <w:r w:rsidR="00341742">
        <w:t>objection</w:t>
      </w:r>
      <w:r w:rsidRPr="00E700AD">
        <w:t xml:space="preserve">, on the ground that </w:t>
      </w:r>
      <w:r w:rsidR="00AD742E">
        <w:t xml:space="preserve">the author </w:t>
      </w:r>
      <w:r w:rsidR="0084320C">
        <w:t>had not demonstrated</w:t>
      </w:r>
      <w:r w:rsidR="00AD742E">
        <w:t xml:space="preserve"> special circumstances allowing </w:t>
      </w:r>
      <w:r w:rsidRPr="00E700AD">
        <w:t xml:space="preserve">child </w:t>
      </w:r>
      <w:r w:rsidR="006D2696">
        <w:t>budget</w:t>
      </w:r>
      <w:r w:rsidR="00B80187">
        <w:t>s</w:t>
      </w:r>
      <w:r w:rsidR="006D2696">
        <w:t xml:space="preserve"> </w:t>
      </w:r>
      <w:r w:rsidR="00AD742E">
        <w:t>to</w:t>
      </w:r>
      <w:r w:rsidRPr="00E700AD">
        <w:t xml:space="preserve"> </w:t>
      </w:r>
      <w:proofErr w:type="gramStart"/>
      <w:r w:rsidRPr="00E700AD">
        <w:t>be granted</w:t>
      </w:r>
      <w:proofErr w:type="gramEnd"/>
      <w:r w:rsidRPr="00E700AD">
        <w:t xml:space="preserve"> to </w:t>
      </w:r>
      <w:r w:rsidR="00AD742E">
        <w:t>individuals</w:t>
      </w:r>
      <w:r w:rsidRPr="00E700AD">
        <w:t xml:space="preserve"> without a residence permit</w:t>
      </w:r>
      <w:r w:rsidR="00FE0B03">
        <w:t>. On</w:t>
      </w:r>
      <w:r w:rsidRPr="00E700AD">
        <w:t xml:space="preserve"> 19 February 2013, the District Court of The Hague </w:t>
      </w:r>
      <w:r w:rsidR="003B59A7">
        <w:t xml:space="preserve">declared the author’s appeal of the decision unfounded, </w:t>
      </w:r>
      <w:r w:rsidR="00B33D8D">
        <w:t>finding</w:t>
      </w:r>
      <w:r w:rsidRPr="00E700AD">
        <w:t xml:space="preserve"> that the denial of </w:t>
      </w:r>
      <w:r w:rsidR="00B80187">
        <w:t xml:space="preserve">the </w:t>
      </w:r>
      <w:r w:rsidRPr="00E700AD">
        <w:t xml:space="preserve">child </w:t>
      </w:r>
      <w:r w:rsidR="006D2696">
        <w:t xml:space="preserve">budget </w:t>
      </w:r>
      <w:r w:rsidRPr="00E700AD">
        <w:t xml:space="preserve">to aliens without residence permits could be discriminatory only when </w:t>
      </w:r>
      <w:r w:rsidR="00FE0B03">
        <w:t xml:space="preserve">they </w:t>
      </w:r>
      <w:proofErr w:type="gramStart"/>
      <w:r w:rsidR="00FE0B03">
        <w:t>were denied</w:t>
      </w:r>
      <w:proofErr w:type="gramEnd"/>
      <w:r w:rsidR="00FE0B03">
        <w:t xml:space="preserve"> to persons who could demonstrate very special </w:t>
      </w:r>
      <w:r w:rsidRPr="00E700AD">
        <w:t>circumstances. In the case of the author, the Court</w:t>
      </w:r>
      <w:r w:rsidR="00C846CC">
        <w:t xml:space="preserve"> found no special circumstances, </w:t>
      </w:r>
      <w:r w:rsidRPr="00E700AD">
        <w:t xml:space="preserve">as she had not submitted </w:t>
      </w:r>
      <w:r w:rsidR="00C846CC">
        <w:t>proof</w:t>
      </w:r>
      <w:r w:rsidRPr="00E700AD">
        <w:t xml:space="preserve"> of her statelessness and of her </w:t>
      </w:r>
      <w:r w:rsidR="00C846CC">
        <w:t>inability</w:t>
      </w:r>
      <w:r w:rsidRPr="00E700AD">
        <w:t xml:space="preserve"> to leave </w:t>
      </w:r>
      <w:r w:rsidR="00BF0969">
        <w:t>the Netherlands</w:t>
      </w:r>
      <w:r w:rsidRPr="00E700AD">
        <w:t>.</w:t>
      </w:r>
      <w:r w:rsidR="00471BE9">
        <w:rPr>
          <w:rStyle w:val="FootnoteReference"/>
        </w:rPr>
        <w:footnoteReference w:id="7"/>
      </w:r>
      <w:r w:rsidRPr="00E700AD">
        <w:t xml:space="preserve"> </w:t>
      </w:r>
      <w:r w:rsidR="00A206D4">
        <w:t>On 5 February 2014, the Council of State rejected the author’s appeal</w:t>
      </w:r>
      <w:r w:rsidR="00BE116C">
        <w:t xml:space="preserve"> of the District Court’s decision</w:t>
      </w:r>
      <w:r w:rsidR="00A206D4">
        <w:t xml:space="preserve">. The Council </w:t>
      </w:r>
      <w:r w:rsidRPr="00E700AD">
        <w:t>found no violation of the</w:t>
      </w:r>
      <w:r w:rsidR="00A206D4">
        <w:t xml:space="preserve"> author’s</w:t>
      </w:r>
      <w:r w:rsidRPr="00E700AD">
        <w:t xml:space="preserve"> right to family life and to non-discrimination</w:t>
      </w:r>
      <w:r w:rsidR="00A35C1B">
        <w:t xml:space="preserve"> under</w:t>
      </w:r>
      <w:r w:rsidRPr="00E700AD">
        <w:t xml:space="preserve"> articles 8 and 14 of the European Convention on Human Rights. It did not find special circumstances that could justify granting </w:t>
      </w:r>
      <w:r w:rsidR="00A35C1B">
        <w:t>the author</w:t>
      </w:r>
      <w:r w:rsidRPr="00E700AD">
        <w:t xml:space="preserve"> </w:t>
      </w:r>
      <w:r w:rsidR="00B80187">
        <w:t xml:space="preserve">a </w:t>
      </w:r>
      <w:r w:rsidRPr="00E700AD">
        <w:t xml:space="preserve">child </w:t>
      </w:r>
      <w:r w:rsidR="006D2696">
        <w:t>budget</w:t>
      </w:r>
      <w:r w:rsidRPr="00E700AD">
        <w:t xml:space="preserve">. In addition, it argued that </w:t>
      </w:r>
      <w:r w:rsidR="0042683E">
        <w:t xml:space="preserve">the </w:t>
      </w:r>
      <w:r w:rsidRPr="00E700AD">
        <w:t xml:space="preserve">child </w:t>
      </w:r>
      <w:r w:rsidR="006D2696">
        <w:t xml:space="preserve">budget </w:t>
      </w:r>
      <w:proofErr w:type="gramStart"/>
      <w:r w:rsidR="00B80187">
        <w:t>was</w:t>
      </w:r>
      <w:r w:rsidRPr="00E700AD">
        <w:t xml:space="preserve"> not intended</w:t>
      </w:r>
      <w:proofErr w:type="gramEnd"/>
      <w:r w:rsidRPr="00E700AD">
        <w:t xml:space="preserve"> to guarantee a subsistence level to the beneficiaries. </w:t>
      </w:r>
      <w:proofErr w:type="gramStart"/>
      <w:r w:rsidRPr="00E700AD">
        <w:t xml:space="preserve">With regard to the right of the child to an adequate standard of living </w:t>
      </w:r>
      <w:r w:rsidR="000A4397">
        <w:t>under</w:t>
      </w:r>
      <w:r w:rsidRPr="00E700AD">
        <w:t xml:space="preserve"> the Convention on the Rights of the Child,</w:t>
      </w:r>
      <w:proofErr w:type="gramEnd"/>
      <w:r w:rsidRPr="00E700AD">
        <w:t xml:space="preserve"> the </w:t>
      </w:r>
      <w:r w:rsidR="000426AA">
        <w:t>Council</w:t>
      </w:r>
      <w:r w:rsidRPr="00E700AD">
        <w:t xml:space="preserve"> considered that children’s rights were not at stake, as the beneficiaries of the </w:t>
      </w:r>
      <w:r w:rsidR="00B80187">
        <w:t>budget</w:t>
      </w:r>
      <w:r w:rsidRPr="00E700AD">
        <w:t xml:space="preserve"> were the parents, not the children.</w:t>
      </w:r>
    </w:p>
    <w:p w14:paraId="200B00F6" w14:textId="77777777" w:rsidR="00176517" w:rsidRDefault="00EE754D" w:rsidP="00E700AD">
      <w:pPr>
        <w:pStyle w:val="SingleTxtG"/>
        <w:spacing w:before="120"/>
      </w:pPr>
      <w:r>
        <w:t>2.11</w:t>
      </w:r>
      <w:r w:rsidR="00E700AD" w:rsidRPr="00E700AD">
        <w:tab/>
      </w:r>
      <w:r w:rsidR="006F0678">
        <w:t xml:space="preserve">On 28 October 2009, the author applied for a “no-fault” residence permit, claiming that she was stateless through no fault of her own. On 3 November 2009, the application </w:t>
      </w:r>
      <w:proofErr w:type="gramStart"/>
      <w:r w:rsidR="006F0678">
        <w:t>was denied</w:t>
      </w:r>
      <w:proofErr w:type="gramEnd"/>
      <w:r w:rsidR="006F0678">
        <w:t xml:space="preserve">, and on 20 November 2009, the District Court of The Hague declared the author’s application for review unfounded. On 21 August 2012, the author filed another application for a no-fault residence permit; </w:t>
      </w:r>
      <w:proofErr w:type="gramStart"/>
      <w:r w:rsidR="006F0678">
        <w:t>it was denied by the State Secretary of Justice</w:t>
      </w:r>
      <w:proofErr w:type="gramEnd"/>
      <w:r w:rsidR="006F0678">
        <w:t xml:space="preserve"> on the same date.</w:t>
      </w:r>
      <w:r w:rsidR="006F0678">
        <w:rPr>
          <w:rStyle w:val="FootnoteReference"/>
        </w:rPr>
        <w:footnoteReference w:id="8"/>
      </w:r>
      <w:r w:rsidR="006F0678">
        <w:t xml:space="preserve"> On 18 July 2013, the District Court of The Hague denied the author’s application for review.</w:t>
      </w:r>
      <w:r w:rsidR="006F0678">
        <w:rPr>
          <w:rStyle w:val="FootnoteReference"/>
        </w:rPr>
        <w:footnoteReference w:id="9"/>
      </w:r>
      <w:r w:rsidR="006F0678">
        <w:t xml:space="preserve"> </w:t>
      </w:r>
    </w:p>
    <w:p w14:paraId="024DB9BD" w14:textId="445C0F2A" w:rsidR="00132765" w:rsidRDefault="00176517" w:rsidP="00E700AD">
      <w:pPr>
        <w:pStyle w:val="SingleTxtG"/>
        <w:spacing w:before="120"/>
      </w:pPr>
      <w:r>
        <w:t>2.12</w:t>
      </w:r>
      <w:r>
        <w:tab/>
      </w:r>
      <w:r w:rsidR="00356255">
        <w:t xml:space="preserve">In December 2012, the Advisory Committee on Migration Affairs published a report entitled “No Country of One’s Own,” concerning protection for stateless persons under </w:t>
      </w:r>
      <w:r w:rsidR="00356255">
        <w:lastRenderedPageBreak/>
        <w:t>international treaties. The Committee considered that the Netherlands was not meeting in full its obligations under treaties relating to statelessness, including with regard to children</w:t>
      </w:r>
      <w:r w:rsidR="00BE116C">
        <w:t xml:space="preserve"> who are born stateless</w:t>
      </w:r>
      <w:r w:rsidR="00356255">
        <w:t xml:space="preserve">. </w:t>
      </w:r>
    </w:p>
    <w:p w14:paraId="7E9436A4" w14:textId="33F86445" w:rsidR="00E700AD" w:rsidRPr="00E700AD" w:rsidRDefault="00E700AD" w:rsidP="00E700AD">
      <w:pPr>
        <w:pStyle w:val="SingleTxtG"/>
        <w:spacing w:before="120"/>
      </w:pPr>
      <w:r w:rsidRPr="00E700AD">
        <w:t>2.1</w:t>
      </w:r>
      <w:r w:rsidR="00176517">
        <w:t>3</w:t>
      </w:r>
      <w:r w:rsidRPr="00E700AD">
        <w:tab/>
        <w:t xml:space="preserve">On 27 May 2013, the author applied, on behalf of </w:t>
      </w:r>
      <w:r w:rsidR="00126D30">
        <w:t>Y</w:t>
      </w:r>
      <w:r w:rsidR="008159BC">
        <w:t xml:space="preserve">, </w:t>
      </w:r>
      <w:r w:rsidRPr="00E700AD">
        <w:t xml:space="preserve">for a </w:t>
      </w:r>
      <w:r w:rsidR="00ED041D">
        <w:t>long-term child residence permit</w:t>
      </w:r>
      <w:r w:rsidRPr="00E700AD">
        <w:t xml:space="preserve">, also </w:t>
      </w:r>
      <w:r w:rsidR="009A6928">
        <w:t>known as</w:t>
      </w:r>
      <w:r w:rsidR="00ED041D">
        <w:t xml:space="preserve"> a</w:t>
      </w:r>
      <w:r w:rsidRPr="00E700AD">
        <w:t xml:space="preserve"> “children’s pardon</w:t>
      </w:r>
      <w:r w:rsidR="00ED041D">
        <w:t>.</w:t>
      </w:r>
      <w:r w:rsidRPr="00E700AD">
        <w:t>”</w:t>
      </w:r>
      <w:r w:rsidR="00E20DE0">
        <w:rPr>
          <w:rStyle w:val="FootnoteReference"/>
        </w:rPr>
        <w:footnoteReference w:id="10"/>
      </w:r>
      <w:r w:rsidR="00945994">
        <w:t xml:space="preserve"> On 3 July 2013, the State Secretary of Justice rejected the application on the ground that </w:t>
      </w:r>
      <w:r w:rsidR="00126D30">
        <w:t>Y</w:t>
      </w:r>
      <w:r w:rsidR="00945994">
        <w:t xml:space="preserve"> had only lived </w:t>
      </w:r>
      <w:r w:rsidRPr="00E700AD">
        <w:t xml:space="preserve">in </w:t>
      </w:r>
      <w:r w:rsidR="00BF0969">
        <w:t>the Netherlands</w:t>
      </w:r>
      <w:r w:rsidR="00945994">
        <w:t xml:space="preserve"> for four years before</w:t>
      </w:r>
      <w:r w:rsidRPr="00E700AD">
        <w:t xml:space="preserve"> </w:t>
      </w:r>
      <w:r w:rsidR="00945994">
        <w:t>the</w:t>
      </w:r>
      <w:r w:rsidRPr="00E700AD">
        <w:t xml:space="preserve"> </w:t>
      </w:r>
      <w:r w:rsidR="00E56BBE">
        <w:t xml:space="preserve">passage of the </w:t>
      </w:r>
      <w:r w:rsidRPr="00E700AD">
        <w:t xml:space="preserve">law </w:t>
      </w:r>
      <w:r w:rsidR="00E56BBE">
        <w:t>establishing</w:t>
      </w:r>
      <w:r w:rsidRPr="00E700AD">
        <w:t xml:space="preserve"> the children’s p</w:t>
      </w:r>
      <w:r w:rsidR="00945994">
        <w:t xml:space="preserve">ardon, instead of the </w:t>
      </w:r>
      <w:r w:rsidR="00370093">
        <w:t>requisite</w:t>
      </w:r>
      <w:r w:rsidR="00945994">
        <w:t xml:space="preserve"> five</w:t>
      </w:r>
      <w:r w:rsidR="001F4102">
        <w:t xml:space="preserve"> years.</w:t>
      </w:r>
      <w:r w:rsidR="00E03898">
        <w:rPr>
          <w:rStyle w:val="FootnoteReference"/>
        </w:rPr>
        <w:footnoteReference w:id="11"/>
      </w:r>
      <w:r w:rsidR="001F4102">
        <w:t xml:space="preserve"> </w:t>
      </w:r>
      <w:r w:rsidR="001F4102" w:rsidRPr="006605DB">
        <w:t xml:space="preserve">On 8 October 2014, the </w:t>
      </w:r>
      <w:r w:rsidR="008159BC" w:rsidRPr="006605DB">
        <w:t>State Secretary of Justice</w:t>
      </w:r>
      <w:r w:rsidR="001F4102" w:rsidRPr="006605DB">
        <w:t xml:space="preserve"> denied the author’</w:t>
      </w:r>
      <w:r w:rsidR="006761F3" w:rsidRPr="006605DB">
        <w:t>s appeal</w:t>
      </w:r>
      <w:r w:rsidR="008159BC" w:rsidRPr="006605DB">
        <w:t xml:space="preserve">, but granted </w:t>
      </w:r>
      <w:r w:rsidR="00446B59" w:rsidRPr="006605DB">
        <w:t xml:space="preserve">to </w:t>
      </w:r>
      <w:r w:rsidR="008159BC" w:rsidRPr="006605DB">
        <w:t xml:space="preserve">the </w:t>
      </w:r>
      <w:r w:rsidR="00FD1392" w:rsidRPr="006605DB">
        <w:t xml:space="preserve">author, </w:t>
      </w:r>
      <w:r w:rsidR="00126D30">
        <w:t xml:space="preserve">her parents, </w:t>
      </w:r>
      <w:r w:rsidR="00FD1392" w:rsidRPr="006605DB">
        <w:t>her brother</w:t>
      </w:r>
      <w:r w:rsidR="00126D30">
        <w:t xml:space="preserve"> and Y</w:t>
      </w:r>
      <w:r w:rsidR="001F4102" w:rsidRPr="006605DB">
        <w:t xml:space="preserve"> a one-year residence permit on the ground that all members of the family were unable to leave the Netherlands due to no fault of their own.</w:t>
      </w:r>
      <w:r w:rsidR="001F4102">
        <w:t xml:space="preserve"> </w:t>
      </w:r>
      <w:r w:rsidR="00335D99">
        <w:t>In March</w:t>
      </w:r>
      <w:r w:rsidR="001F4102">
        <w:t xml:space="preserve"> 2015, the District Court of The Hague denied the author’s appeal </w:t>
      </w:r>
      <w:r w:rsidR="006761F3">
        <w:t>regarding the children’s pardon. The author applied for an extension of her one-year residence permit</w:t>
      </w:r>
      <w:r w:rsidR="00CB0994">
        <w:t xml:space="preserve"> and, at the time the communication </w:t>
      </w:r>
      <w:proofErr w:type="gramStart"/>
      <w:r w:rsidR="00CB0994">
        <w:t>was submitted</w:t>
      </w:r>
      <w:proofErr w:type="gramEnd"/>
      <w:r w:rsidR="00CB0994">
        <w:t>, was awaiting a response</w:t>
      </w:r>
      <w:r w:rsidR="006761F3">
        <w:t>.</w:t>
      </w:r>
      <w:r w:rsidR="006667D1">
        <w:rPr>
          <w:rStyle w:val="FootnoteReference"/>
        </w:rPr>
        <w:footnoteReference w:id="12"/>
      </w:r>
      <w:r w:rsidR="006761F3">
        <w:t xml:space="preserve"> </w:t>
      </w:r>
    </w:p>
    <w:p w14:paraId="170133BC" w14:textId="2512BAFD" w:rsidR="00E700AD" w:rsidRPr="00E700AD" w:rsidRDefault="00E700AD" w:rsidP="00E700AD">
      <w:pPr>
        <w:pStyle w:val="SingleTxtG"/>
        <w:spacing w:before="120"/>
      </w:pPr>
      <w:r w:rsidRPr="00E700AD">
        <w:t>2.1</w:t>
      </w:r>
      <w:r w:rsidR="00176517">
        <w:t>4</w:t>
      </w:r>
      <w:r w:rsidRPr="00E700AD">
        <w:tab/>
        <w:t xml:space="preserve">The author </w:t>
      </w:r>
      <w:r w:rsidR="009E060B">
        <w:t>maintains that she has exhausted domestic remedies with regard to her claims of violations of her right to family life and non-discriminati</w:t>
      </w:r>
      <w:r w:rsidR="00B0783D">
        <w:t xml:space="preserve">on, and the rights of her child; she also states that she has not submitted the matter for consideration to another body of international investigation or settlement. </w:t>
      </w:r>
    </w:p>
    <w:p w14:paraId="30C7CCBF" w14:textId="1ABE98B3" w:rsidR="000128E3" w:rsidRPr="00C906E9" w:rsidRDefault="009A6499" w:rsidP="009A6499">
      <w:pPr>
        <w:pStyle w:val="H23G"/>
      </w:pPr>
      <w:r>
        <w:tab/>
      </w:r>
      <w:r>
        <w:tab/>
      </w:r>
      <w:r w:rsidR="000128E3" w:rsidRPr="00C906E9">
        <w:t>The complaint</w:t>
      </w:r>
    </w:p>
    <w:p w14:paraId="479E6ADE" w14:textId="65B73DB5" w:rsidR="00FD2F6F" w:rsidRDefault="000947A0" w:rsidP="00332421">
      <w:pPr>
        <w:pStyle w:val="SingleTxtG"/>
      </w:pPr>
      <w:r w:rsidRPr="001103BA">
        <w:t>3.</w:t>
      </w:r>
      <w:r w:rsidR="00DE6F8B" w:rsidRPr="001103BA">
        <w:t>1</w:t>
      </w:r>
      <w:r w:rsidRPr="001103BA">
        <w:tab/>
      </w:r>
      <w:r w:rsidR="007F199F" w:rsidRPr="00A72D0A">
        <w:t xml:space="preserve">The author submits that </w:t>
      </w:r>
      <w:r w:rsidR="00FD2F6F" w:rsidRPr="00A72D0A">
        <w:t xml:space="preserve">by denying her application for </w:t>
      </w:r>
      <w:r w:rsidR="00B80187" w:rsidRPr="00A72D0A">
        <w:t xml:space="preserve">a </w:t>
      </w:r>
      <w:r w:rsidR="00FD2F6F" w:rsidRPr="00A72D0A">
        <w:t>child</w:t>
      </w:r>
      <w:r w:rsidR="002E431D" w:rsidRPr="00A72D0A">
        <w:t xml:space="preserve"> </w:t>
      </w:r>
      <w:r w:rsidR="009C4DE9" w:rsidRPr="00A72D0A">
        <w:t>budget</w:t>
      </w:r>
      <w:r w:rsidR="00FD2F6F" w:rsidRPr="00A72D0A">
        <w:t xml:space="preserve">, </w:t>
      </w:r>
      <w:r w:rsidR="007F199F" w:rsidRPr="00A72D0A">
        <w:t xml:space="preserve">the </w:t>
      </w:r>
      <w:r w:rsidR="002E431D" w:rsidRPr="00A72D0A">
        <w:t xml:space="preserve">State party violated </w:t>
      </w:r>
      <w:r w:rsidR="00A72D0A" w:rsidRPr="00A72D0A">
        <w:t xml:space="preserve">her and Y’s rights </w:t>
      </w:r>
      <w:r w:rsidR="007F199F" w:rsidRPr="00A72D0A">
        <w:t>under article</w:t>
      </w:r>
      <w:r w:rsidR="00BF4A5D" w:rsidRPr="00A72D0A">
        <w:t>s</w:t>
      </w:r>
      <w:r w:rsidR="001E06F0" w:rsidRPr="00A72D0A">
        <w:t xml:space="preserve"> 23 </w:t>
      </w:r>
      <w:r w:rsidR="00BC0576" w:rsidRPr="00A72D0A">
        <w:t>(1), 24 (3), and</w:t>
      </w:r>
      <w:r w:rsidR="001E06F0" w:rsidRPr="00A72D0A">
        <w:t xml:space="preserve"> 26, read in conjunction with articles 23 (1) and 24 (1) of the Covenant</w:t>
      </w:r>
      <w:r w:rsidR="00A72D0A" w:rsidRPr="00A72D0A">
        <w:t>; as well as Y’s rights under article 24 (1) of the Covenant.</w:t>
      </w:r>
      <w:r w:rsidR="002E431D" w:rsidRPr="00A72D0A">
        <w:t xml:space="preserve"> </w:t>
      </w:r>
      <w:r w:rsidR="00EE41CE" w:rsidRPr="00A72D0A">
        <w:t>With respect t</w:t>
      </w:r>
      <w:r w:rsidR="007574EA" w:rsidRPr="00A72D0A">
        <w:t>o</w:t>
      </w:r>
      <w:r w:rsidR="00EE41CE" w:rsidRPr="00A72D0A">
        <w:t xml:space="preserve"> article 23 (1),</w:t>
      </w:r>
      <w:r w:rsidR="00F72E42" w:rsidRPr="00A72D0A">
        <w:t xml:space="preserve"> the author asserts that</w:t>
      </w:r>
      <w:r w:rsidR="00EE41CE" w:rsidRPr="00A72D0A">
        <w:t xml:space="preserve"> i</w:t>
      </w:r>
      <w:r w:rsidR="005A17DE" w:rsidRPr="00A72D0A">
        <w:t>n conformity with the jurisprudence of the European</w:t>
      </w:r>
      <w:r w:rsidR="005A17DE">
        <w:t xml:space="preserve"> Court of Human Rights,</w:t>
      </w:r>
      <w:r w:rsidR="005A17DE">
        <w:rPr>
          <w:rStyle w:val="FootnoteReference"/>
        </w:rPr>
        <w:footnoteReference w:id="13"/>
      </w:r>
      <w:r w:rsidR="005A17DE">
        <w:t xml:space="preserve"> the Dutch courts have </w:t>
      </w:r>
      <w:r w:rsidR="00F72E42">
        <w:t>found</w:t>
      </w:r>
      <w:r w:rsidR="005A17DE">
        <w:t xml:space="preserve"> that payment of </w:t>
      </w:r>
      <w:r w:rsidR="004515EE">
        <w:t xml:space="preserve">the </w:t>
      </w:r>
      <w:r w:rsidR="005A17DE">
        <w:t xml:space="preserve">child budget </w:t>
      </w:r>
      <w:r w:rsidR="00BF4A5D">
        <w:t>may</w:t>
      </w:r>
      <w:r w:rsidR="005A17DE">
        <w:t xml:space="preserve"> be regarded as a discharge of the State’s </w:t>
      </w:r>
      <w:r w:rsidR="00A05FCE">
        <w:t xml:space="preserve">positive </w:t>
      </w:r>
      <w:r w:rsidR="005A17DE">
        <w:t xml:space="preserve">obligation </w:t>
      </w:r>
      <w:r w:rsidR="00F72E42">
        <w:t xml:space="preserve">to protect family life </w:t>
      </w:r>
      <w:r w:rsidR="005A17DE">
        <w:t xml:space="preserve">under article 8 of the European Convention of Human Rights. </w:t>
      </w:r>
      <w:r w:rsidR="00BF4A5D">
        <w:t>T</w:t>
      </w:r>
      <w:r w:rsidR="00244F33">
        <w:t>hus, t</w:t>
      </w:r>
      <w:r w:rsidR="00BF4A5D">
        <w:t xml:space="preserve">he child budget is </w:t>
      </w:r>
      <w:r w:rsidR="00C62BD5">
        <w:t>similarly</w:t>
      </w:r>
      <w:r w:rsidR="00BF4A5D">
        <w:t xml:space="preserve"> protected under </w:t>
      </w:r>
      <w:r w:rsidR="003712AE">
        <w:t xml:space="preserve">article 23 (1) of the Covenant, and the denial of </w:t>
      </w:r>
      <w:r w:rsidR="00244F33">
        <w:t>the author’s</w:t>
      </w:r>
      <w:r w:rsidR="003712AE">
        <w:t xml:space="preserve"> application amounts to a violation of </w:t>
      </w:r>
      <w:r w:rsidR="00A30579">
        <w:t>the</w:t>
      </w:r>
      <w:r w:rsidR="003712AE">
        <w:t xml:space="preserve"> right to family life. </w:t>
      </w:r>
      <w:r w:rsidR="00200DD2">
        <w:t xml:space="preserve">The </w:t>
      </w:r>
      <w:r w:rsidR="003E5424">
        <w:t>Linkage Principle</w:t>
      </w:r>
      <w:r w:rsidR="006E2DB8">
        <w:t xml:space="preserve"> </w:t>
      </w:r>
      <w:proofErr w:type="gramStart"/>
      <w:r w:rsidR="006B15EF">
        <w:t xml:space="preserve">should </w:t>
      </w:r>
      <w:r w:rsidR="001C2C75">
        <w:t>not be rigidly applied</w:t>
      </w:r>
      <w:proofErr w:type="gramEnd"/>
      <w:r w:rsidR="001C2C75">
        <w:t xml:space="preserve"> </w:t>
      </w:r>
      <w:r w:rsidR="00D5326B">
        <w:t>to stateless individuals</w:t>
      </w:r>
      <w:r w:rsidR="001D7937">
        <w:t>,</w:t>
      </w:r>
      <w:r w:rsidR="00D5326B">
        <w:t xml:space="preserve"> </w:t>
      </w:r>
      <w:r w:rsidR="001C2C75">
        <w:t>especially when minors are involved, as is the case here.</w:t>
      </w:r>
      <w:r w:rsidR="006B2EA3">
        <w:t xml:space="preserve"> It is </w:t>
      </w:r>
      <w:proofErr w:type="gramStart"/>
      <w:r w:rsidR="006B2EA3">
        <w:t>well-</w:t>
      </w:r>
      <w:r w:rsidR="003E5424">
        <w:t>established</w:t>
      </w:r>
      <w:proofErr w:type="gramEnd"/>
      <w:r w:rsidR="003E5424">
        <w:t xml:space="preserve"> under Dutch law that the Linkage Principle is not set in stone and cannot prevail when violations of human rights are at stake.</w:t>
      </w:r>
      <w:r w:rsidR="003D0F0A">
        <w:rPr>
          <w:rStyle w:val="FootnoteReference"/>
        </w:rPr>
        <w:footnoteReference w:id="14"/>
      </w:r>
      <w:r w:rsidR="003E5424">
        <w:t xml:space="preserve"> </w:t>
      </w:r>
      <w:r w:rsidR="00985AAF">
        <w:t xml:space="preserve">The author lost her Uzbek nationality at the age of 17; as a result, </w:t>
      </w:r>
      <w:r w:rsidR="00CC26FA">
        <w:t>Y</w:t>
      </w:r>
      <w:r w:rsidR="00985AAF">
        <w:t xml:space="preserve"> was born stateless in the Netherlands. The author has submitted several official documents from the Uzbek authorities to </w:t>
      </w:r>
      <w:r w:rsidR="00E47BD6">
        <w:t>demonstrate</w:t>
      </w:r>
      <w:r w:rsidR="00985AAF">
        <w:t xml:space="preserve"> her loss of nationality. </w:t>
      </w:r>
      <w:r w:rsidR="00D97685">
        <w:t xml:space="preserve">The </w:t>
      </w:r>
      <w:r w:rsidR="00985AAF">
        <w:t xml:space="preserve">Repatriation </w:t>
      </w:r>
      <w:r w:rsidR="00D97685">
        <w:t xml:space="preserve">and Departure </w:t>
      </w:r>
      <w:r w:rsidR="00985AAF">
        <w:t xml:space="preserve">Services has acknowledged that because of the author’s loss of nationality, she </w:t>
      </w:r>
      <w:proofErr w:type="gramStart"/>
      <w:r w:rsidR="00985AAF">
        <w:t>can</w:t>
      </w:r>
      <w:r w:rsidR="00A17EF3">
        <w:t>not be repatriated or expelled</w:t>
      </w:r>
      <w:proofErr w:type="gramEnd"/>
      <w:r w:rsidR="00A17EF3">
        <w:t>.</w:t>
      </w:r>
      <w:r w:rsidR="00A17EF3">
        <w:rPr>
          <w:rStyle w:val="FootnoteReference"/>
        </w:rPr>
        <w:footnoteReference w:id="15"/>
      </w:r>
      <w:r w:rsidR="00A17EF3">
        <w:t xml:space="preserve"> </w:t>
      </w:r>
      <w:r w:rsidR="00985AAF" w:rsidRPr="00C6764B">
        <w:t xml:space="preserve">In addition, the author and </w:t>
      </w:r>
      <w:r w:rsidR="00BD7BC8" w:rsidRPr="00C6764B">
        <w:t>Y</w:t>
      </w:r>
      <w:r w:rsidR="00985AAF" w:rsidRPr="00C6764B">
        <w:t xml:space="preserve"> </w:t>
      </w:r>
      <w:proofErr w:type="gramStart"/>
      <w:r w:rsidR="00985AAF" w:rsidRPr="00C6764B">
        <w:t>cannot formally be declared</w:t>
      </w:r>
      <w:proofErr w:type="gramEnd"/>
      <w:r w:rsidR="00985AAF" w:rsidRPr="00C6764B">
        <w:t xml:space="preserve"> stateless because the Ne</w:t>
      </w:r>
      <w:r w:rsidR="004723DE" w:rsidRPr="00C6764B">
        <w:t xml:space="preserve">therlands has no such </w:t>
      </w:r>
      <w:r w:rsidR="00037BBF">
        <w:t>procedure</w:t>
      </w:r>
      <w:r w:rsidR="008F5EEA">
        <w:t>;</w:t>
      </w:r>
      <w:r w:rsidR="00037BBF">
        <w:t xml:space="preserve"> thus, they cannot </w:t>
      </w:r>
      <w:r w:rsidR="00037BBF" w:rsidRPr="00C6764B">
        <w:t>access special protection afforded to stateless people under article 32 of the 1954 Convention relating to the Status of Stateless Persons and the 1961 Convention on the Reduction of Statelessness, to which the Netherlands is a party.</w:t>
      </w:r>
      <w:r w:rsidR="00037BBF" w:rsidRPr="00332421">
        <w:t xml:space="preserve"> </w:t>
      </w:r>
      <w:r w:rsidR="00037BBF">
        <w:t>This amounts to a violation of the author’s and Y’s rights un</w:t>
      </w:r>
      <w:r w:rsidR="00356500">
        <w:t>der</w:t>
      </w:r>
      <w:r w:rsidR="00037BBF">
        <w:t xml:space="preserve"> article 24 (3) of </w:t>
      </w:r>
      <w:r w:rsidR="00037BBF">
        <w:lastRenderedPageBreak/>
        <w:t xml:space="preserve">the Covenant. </w:t>
      </w:r>
      <w:r w:rsidR="00332421" w:rsidRPr="00C6764B">
        <w:t>Because the author and Y were unable to solve their residency issues, they fell into hardship amounting to a violation of their right to family life.</w:t>
      </w:r>
      <w:r w:rsidR="00332421" w:rsidRPr="00C6764B">
        <w:rPr>
          <w:rStyle w:val="FootnoteReference"/>
        </w:rPr>
        <w:footnoteReference w:id="16"/>
      </w:r>
    </w:p>
    <w:p w14:paraId="4CA4C991" w14:textId="0C2D7983" w:rsidR="00496B0B" w:rsidRDefault="00DD3A92" w:rsidP="00FD2F6F">
      <w:pPr>
        <w:pStyle w:val="SingleTxtG"/>
      </w:pPr>
      <w:r>
        <w:t>3.</w:t>
      </w:r>
      <w:r w:rsidR="00B01A63">
        <w:t>2</w:t>
      </w:r>
      <w:r>
        <w:tab/>
      </w:r>
      <w:r w:rsidR="00531A9B">
        <w:t>Regarding</w:t>
      </w:r>
      <w:r w:rsidR="00757044">
        <w:t xml:space="preserve"> </w:t>
      </w:r>
      <w:r w:rsidR="00B01A63">
        <w:t xml:space="preserve">the claim under </w:t>
      </w:r>
      <w:r w:rsidR="006B551F">
        <w:t>article 24 (1)</w:t>
      </w:r>
      <w:r w:rsidR="00A020ED">
        <w:t xml:space="preserve"> of the Covenant</w:t>
      </w:r>
      <w:r w:rsidR="006B551F">
        <w:t xml:space="preserve">, </w:t>
      </w:r>
      <w:r w:rsidR="00E158E2" w:rsidRPr="00B5030E">
        <w:t xml:space="preserve">whereas the State party </w:t>
      </w:r>
      <w:r w:rsidR="00DD048C">
        <w:t>maintains that</w:t>
      </w:r>
      <w:r w:rsidR="00E158E2" w:rsidRPr="00B5030E">
        <w:t xml:space="preserve"> </w:t>
      </w:r>
      <w:r w:rsidR="006B2B73" w:rsidRPr="00B5030E">
        <w:t>children</w:t>
      </w:r>
      <w:r w:rsidR="00E158E2" w:rsidRPr="00B5030E">
        <w:t xml:space="preserve"> lack legal standing with regard to the child budget </w:t>
      </w:r>
      <w:r w:rsidR="006B2B73" w:rsidRPr="00B5030E">
        <w:t>because</w:t>
      </w:r>
      <w:r w:rsidR="006B2B73">
        <w:t xml:space="preserve"> it is paid to the parent, </w:t>
      </w:r>
      <w:r w:rsidR="0033172D">
        <w:t xml:space="preserve">the </w:t>
      </w:r>
      <w:r w:rsidR="00DD048C">
        <w:t xml:space="preserve">child </w:t>
      </w:r>
      <w:r w:rsidR="0033172D">
        <w:t>budget</w:t>
      </w:r>
      <w:r w:rsidR="00E158E2">
        <w:t xml:space="preserve"> </w:t>
      </w:r>
      <w:r w:rsidR="003043C6">
        <w:t xml:space="preserve">should </w:t>
      </w:r>
      <w:r w:rsidR="00DD048C">
        <w:t xml:space="preserve">in fact </w:t>
      </w:r>
      <w:r w:rsidR="003043C6">
        <w:t xml:space="preserve">be regarded as a measure of protection required by </w:t>
      </w:r>
      <w:r w:rsidR="00CC26FA">
        <w:t>Y’s status as a minor</w:t>
      </w:r>
      <w:r w:rsidR="00E158E2">
        <w:t xml:space="preserve">. Children are afforded protection because they are considered </w:t>
      </w:r>
      <w:proofErr w:type="gramStart"/>
      <w:r w:rsidR="00CC26FA">
        <w:t xml:space="preserve">to be </w:t>
      </w:r>
      <w:r w:rsidR="00E158E2">
        <w:t>vulnerable</w:t>
      </w:r>
      <w:proofErr w:type="gramEnd"/>
      <w:r w:rsidR="00E158E2">
        <w:t xml:space="preserve"> </w:t>
      </w:r>
      <w:r w:rsidR="005C04EC">
        <w:t>on account of</w:t>
      </w:r>
      <w:r w:rsidR="00E158E2">
        <w:t xml:space="preserve"> their age. </w:t>
      </w:r>
      <w:r w:rsidR="002203BD">
        <w:t xml:space="preserve">As a result, when a claim to </w:t>
      </w:r>
      <w:r w:rsidR="00ED33D1">
        <w:t xml:space="preserve">a </w:t>
      </w:r>
      <w:r w:rsidR="002203BD">
        <w:t>child budget is at stake, the interest</w:t>
      </w:r>
      <w:r w:rsidR="006B2B73">
        <w:t>s</w:t>
      </w:r>
      <w:r w:rsidR="002203BD">
        <w:t xml:space="preserve"> and rights of the child </w:t>
      </w:r>
      <w:proofErr w:type="gramStart"/>
      <w:r w:rsidR="002203BD">
        <w:t>should be taken</w:t>
      </w:r>
      <w:proofErr w:type="gramEnd"/>
      <w:r w:rsidR="002203BD">
        <w:t xml:space="preserve"> into account</w:t>
      </w:r>
      <w:r w:rsidR="00E158E2">
        <w:t xml:space="preserve">. Indeed, the </w:t>
      </w:r>
      <w:r w:rsidR="00ED0AB4">
        <w:t>Supreme Court of the Netherlands has</w:t>
      </w:r>
      <w:r w:rsidR="00E158E2">
        <w:t xml:space="preserve"> acknowledged that family benefits such as general child </w:t>
      </w:r>
      <w:r w:rsidR="00ED33D1">
        <w:t xml:space="preserve">benefits </w:t>
      </w:r>
      <w:proofErr w:type="gramStart"/>
      <w:r w:rsidR="00E158E2">
        <w:t>are intended</w:t>
      </w:r>
      <w:proofErr w:type="gramEnd"/>
      <w:r w:rsidR="00E158E2">
        <w:t xml:space="preserve"> to improve the position of the child.</w:t>
      </w:r>
      <w:r w:rsidR="00E158E2">
        <w:rPr>
          <w:rStyle w:val="FootnoteReference"/>
        </w:rPr>
        <w:footnoteReference w:id="17"/>
      </w:r>
      <w:r w:rsidR="00E158E2">
        <w:t xml:space="preserve"> This reasoning should also apply to </w:t>
      </w:r>
      <w:r w:rsidR="00B80187">
        <w:t xml:space="preserve">the </w:t>
      </w:r>
      <w:r w:rsidR="00E158E2">
        <w:t xml:space="preserve">child </w:t>
      </w:r>
      <w:r w:rsidR="003C21CC">
        <w:t xml:space="preserve">budget, and by deeming that </w:t>
      </w:r>
      <w:r w:rsidR="00B5030E">
        <w:t>the budget</w:t>
      </w:r>
      <w:r w:rsidR="003C21CC">
        <w:t xml:space="preserve"> accrued to the author and not </w:t>
      </w:r>
      <w:r w:rsidR="00CC26FA">
        <w:t>to Y,</w:t>
      </w:r>
      <w:r w:rsidR="003C21CC">
        <w:t xml:space="preserve"> the Dutch authorities </w:t>
      </w:r>
      <w:r w:rsidR="005B7A3D">
        <w:t>failed to</w:t>
      </w:r>
      <w:r w:rsidR="003C21CC">
        <w:t xml:space="preserve"> consider </w:t>
      </w:r>
      <w:r w:rsidR="00CC26FA">
        <w:t>Y’s</w:t>
      </w:r>
      <w:r w:rsidR="003C21CC">
        <w:t xml:space="preserve"> rights or her situation as a stateless minor with no control over her immigration st</w:t>
      </w:r>
      <w:r w:rsidR="00CC26FA">
        <w:t xml:space="preserve">atus. Y’s best interests </w:t>
      </w:r>
      <w:r w:rsidR="003C21CC">
        <w:t>should have been paramount in the assessment of the claim.</w:t>
      </w:r>
      <w:r w:rsidR="00D60A92">
        <w:t xml:space="preserve"> </w:t>
      </w:r>
    </w:p>
    <w:p w14:paraId="04C6080C" w14:textId="14B13767" w:rsidR="00A020ED" w:rsidRDefault="00FD2F6F" w:rsidP="00A020ED">
      <w:pPr>
        <w:pStyle w:val="SingleTxtG"/>
      </w:pPr>
      <w:r>
        <w:t>3.</w:t>
      </w:r>
      <w:r w:rsidR="00A020ED">
        <w:t>3</w:t>
      </w:r>
      <w:r>
        <w:tab/>
      </w:r>
      <w:r w:rsidR="00D71146">
        <w:t>Concerning the claim under</w:t>
      </w:r>
      <w:r w:rsidR="00A020ED">
        <w:t xml:space="preserve"> article 26, read in conjunction with article 23 (1) of the Covenant, the denial of the child budget was discriminatory with respect to the </w:t>
      </w:r>
      <w:r w:rsidR="00D71146">
        <w:t>family life of the author and Y</w:t>
      </w:r>
      <w:r w:rsidR="00A020ED">
        <w:t>, because due to their status as irregular migrants, the State party treated them differently from its own citizens. However, they did not choose to be stateless, as the author was only 11 when her parents fled Uzbekistan, and Y was born stateless</w:t>
      </w:r>
      <w:r w:rsidR="00E235CA">
        <w:t xml:space="preserve"> and both the author and Y were unable to leave </w:t>
      </w:r>
      <w:r w:rsidR="00EB2972">
        <w:t>t</w:t>
      </w:r>
      <w:r w:rsidR="00E235CA">
        <w:t>he Netherlands due to this statelessness</w:t>
      </w:r>
      <w:r w:rsidR="00A020ED">
        <w:t>. Thus, there is no “weighty reason” that could justify their different treatment.</w:t>
      </w:r>
    </w:p>
    <w:p w14:paraId="0E49EB9D" w14:textId="4D9504E5" w:rsidR="00B01A63" w:rsidRPr="00DA778C" w:rsidRDefault="00AE2A93" w:rsidP="00C6764B">
      <w:pPr>
        <w:pStyle w:val="SingleTxtG"/>
      </w:pPr>
      <w:r>
        <w:t>3.4</w:t>
      </w:r>
      <w:r>
        <w:tab/>
      </w:r>
      <w:r w:rsidR="00442FBC">
        <w:t xml:space="preserve">In violation of </w:t>
      </w:r>
      <w:r w:rsidR="006B551F">
        <w:t>article 26, read in conjunction with article 24 (1)</w:t>
      </w:r>
      <w:r w:rsidR="00847B24">
        <w:t xml:space="preserve"> of the Covenant, the denial of the child budget on the basis of the author’s lack of a residence permit </w:t>
      </w:r>
      <w:r w:rsidR="00442FBC">
        <w:t>was</w:t>
      </w:r>
      <w:r w:rsidR="00847B24">
        <w:t xml:space="preserve"> discriminatory</w:t>
      </w:r>
      <w:r w:rsidR="00C76A94">
        <w:t xml:space="preserve"> with regard to </w:t>
      </w:r>
      <w:r w:rsidR="002D5335">
        <w:t>Y</w:t>
      </w:r>
      <w:r w:rsidR="00C76A94">
        <w:t xml:space="preserve">, because the State party’s authorities did not make any distinction between the situation of the author and </w:t>
      </w:r>
      <w:r w:rsidR="002D5335">
        <w:t>Y</w:t>
      </w:r>
      <w:r w:rsidR="00847B24">
        <w:t xml:space="preserve">. </w:t>
      </w:r>
      <w:r w:rsidR="00C76A94">
        <w:t>This distinction is crucial, because the interest of the parent differs from the interest of the child. Children, especially very young</w:t>
      </w:r>
      <w:r w:rsidR="00817CF5">
        <w:t xml:space="preserve"> children</w:t>
      </w:r>
      <w:r w:rsidR="00C76A94">
        <w:t>, are unable to influence their parents’ choices.</w:t>
      </w:r>
      <w:r w:rsidR="00C76A94">
        <w:rPr>
          <w:rStyle w:val="FootnoteReference"/>
        </w:rPr>
        <w:footnoteReference w:id="18"/>
      </w:r>
      <w:r w:rsidR="00125EAC">
        <w:t xml:space="preserve"> </w:t>
      </w:r>
    </w:p>
    <w:p w14:paraId="638491E0" w14:textId="77777777" w:rsidR="000128E3" w:rsidRPr="001103BA" w:rsidRDefault="000128E3" w:rsidP="00F26BC3">
      <w:pPr>
        <w:pStyle w:val="H23G"/>
      </w:pPr>
      <w:r w:rsidRPr="001103BA">
        <w:tab/>
      </w:r>
      <w:r w:rsidRPr="001103BA">
        <w:tab/>
        <w:t>State party’s observations</w:t>
      </w:r>
      <w:r w:rsidR="00E17CD1" w:rsidRPr="001103BA">
        <w:t xml:space="preserve"> </w:t>
      </w:r>
      <w:r w:rsidR="00522C27" w:rsidRPr="001103BA">
        <w:t>on the admissibility</w:t>
      </w:r>
      <w:r w:rsidR="0004754D">
        <w:t xml:space="preserve"> and merits</w:t>
      </w:r>
    </w:p>
    <w:p w14:paraId="183ED77D" w14:textId="3F7CB166" w:rsidR="00EA08CF" w:rsidRDefault="00912F7F" w:rsidP="005F0EF7">
      <w:pPr>
        <w:pStyle w:val="SingleTxtG"/>
      </w:pPr>
      <w:r w:rsidRPr="001103BA">
        <w:t>4.1</w:t>
      </w:r>
      <w:r w:rsidRPr="001103BA">
        <w:tab/>
      </w:r>
      <w:r w:rsidR="00BE23D3">
        <w:t xml:space="preserve">In its observations dated </w:t>
      </w:r>
      <w:r w:rsidR="00BC1EEE">
        <w:t>24 July 2015</w:t>
      </w:r>
      <w:r w:rsidR="00BE23D3">
        <w:t xml:space="preserve">, </w:t>
      </w:r>
      <w:r w:rsidR="00612E23">
        <w:t xml:space="preserve">12 January 2016 and 9 June 2016, </w:t>
      </w:r>
      <w:r w:rsidR="00BE23D3">
        <w:t xml:space="preserve">the </w:t>
      </w:r>
      <w:r w:rsidR="0048494D">
        <w:t xml:space="preserve">State party provides </w:t>
      </w:r>
      <w:r w:rsidR="001E148D">
        <w:t>additional</w:t>
      </w:r>
      <w:r w:rsidR="0048494D">
        <w:t xml:space="preserve"> information on </w:t>
      </w:r>
      <w:r w:rsidR="00E12081">
        <w:t>two</w:t>
      </w:r>
      <w:r w:rsidR="0048494D">
        <w:t xml:space="preserve"> </w:t>
      </w:r>
      <w:r w:rsidR="00476D6B">
        <w:t xml:space="preserve">types of </w:t>
      </w:r>
      <w:r w:rsidR="0048494D">
        <w:t xml:space="preserve">child </w:t>
      </w:r>
      <w:r w:rsidR="00FB048C">
        <w:t>allowances</w:t>
      </w:r>
      <w:r w:rsidR="0048494D">
        <w:t xml:space="preserve"> </w:t>
      </w:r>
      <w:r w:rsidR="00FB048C">
        <w:t>provided for</w:t>
      </w:r>
      <w:r w:rsidR="004A06AC">
        <w:t xml:space="preserve"> under Dutch law:</w:t>
      </w:r>
      <w:r w:rsidR="00EC0001">
        <w:t xml:space="preserve"> (1)</w:t>
      </w:r>
      <w:r w:rsidR="004A06AC">
        <w:t xml:space="preserve"> the child budget</w:t>
      </w:r>
      <w:r w:rsidR="001E148D">
        <w:t xml:space="preserve"> (</w:t>
      </w:r>
      <w:proofErr w:type="spellStart"/>
      <w:r w:rsidR="001E148D" w:rsidRPr="001E148D">
        <w:rPr>
          <w:i/>
        </w:rPr>
        <w:t>kindgebonden</w:t>
      </w:r>
      <w:proofErr w:type="spellEnd"/>
      <w:r w:rsidR="001E148D" w:rsidRPr="001E148D">
        <w:rPr>
          <w:i/>
        </w:rPr>
        <w:t xml:space="preserve"> budget</w:t>
      </w:r>
      <w:r w:rsidR="001E148D">
        <w:t>)</w:t>
      </w:r>
      <w:r w:rsidR="00A263AD">
        <w:t>, which is means tested</w:t>
      </w:r>
      <w:r w:rsidR="004A06AC">
        <w:t xml:space="preserve">, and </w:t>
      </w:r>
      <w:r w:rsidR="00EC0001">
        <w:t xml:space="preserve">(2) </w:t>
      </w:r>
      <w:r w:rsidR="004A06AC">
        <w:t>general child benefits</w:t>
      </w:r>
      <w:r w:rsidR="001E148D">
        <w:t xml:space="preserve"> (</w:t>
      </w:r>
      <w:proofErr w:type="spellStart"/>
      <w:r w:rsidR="001E148D" w:rsidRPr="001E148D">
        <w:rPr>
          <w:i/>
        </w:rPr>
        <w:t>kinderbijslag</w:t>
      </w:r>
      <w:proofErr w:type="spellEnd"/>
      <w:r w:rsidR="001E148D">
        <w:t>)</w:t>
      </w:r>
      <w:r w:rsidR="004A06AC">
        <w:t>.</w:t>
      </w:r>
      <w:r w:rsidR="0048494D">
        <w:t xml:space="preserve"> </w:t>
      </w:r>
      <w:r w:rsidR="00043A97">
        <w:t xml:space="preserve">Neither type of </w:t>
      </w:r>
      <w:r w:rsidR="00FB048C">
        <w:t>allowance</w:t>
      </w:r>
      <w:r w:rsidR="00043A97">
        <w:t xml:space="preserve"> </w:t>
      </w:r>
      <w:proofErr w:type="gramStart"/>
      <w:r w:rsidR="00043A97">
        <w:t>is intended</w:t>
      </w:r>
      <w:proofErr w:type="gramEnd"/>
      <w:r w:rsidR="00043A97">
        <w:t xml:space="preserve"> to serve as a general income support scheme. </w:t>
      </w:r>
      <w:r w:rsidR="00DD048C">
        <w:t xml:space="preserve">General </w:t>
      </w:r>
      <w:proofErr w:type="gramStart"/>
      <w:r w:rsidR="00DD048C">
        <w:t>child</w:t>
      </w:r>
      <w:proofErr w:type="gramEnd"/>
      <w:r w:rsidR="00DD048C">
        <w:t xml:space="preserve"> benefits </w:t>
      </w:r>
      <w:r w:rsidR="005E2F9E">
        <w:t>were established under</w:t>
      </w:r>
      <w:r w:rsidR="004C6460">
        <w:t xml:space="preserve"> t</w:t>
      </w:r>
      <w:r w:rsidR="004C6460" w:rsidRPr="00FE3E4F">
        <w:t>he General Child Benefit Act of 1963</w:t>
      </w:r>
      <w:r w:rsidR="004C6460">
        <w:t xml:space="preserve">. </w:t>
      </w:r>
      <w:r w:rsidR="003B29D6">
        <w:t xml:space="preserve">Under this Act, insured persons who care for or support minor children are entitled to general child benefits. These benefits </w:t>
      </w:r>
      <w:proofErr w:type="gramStart"/>
      <w:r w:rsidR="003B29D6">
        <w:t>are paid</w:t>
      </w:r>
      <w:proofErr w:type="gramEnd"/>
      <w:r w:rsidR="003B29D6">
        <w:t xml:space="preserve"> per household and</w:t>
      </w:r>
      <w:r w:rsidR="00DD048C">
        <w:t xml:space="preserve"> represent a con</w:t>
      </w:r>
      <w:r w:rsidR="003B29D6">
        <w:t xml:space="preserve">tribution towards related costs; they </w:t>
      </w:r>
      <w:r w:rsidR="00DD048C">
        <w:t xml:space="preserve">are not meant to fully reimburse these costs. </w:t>
      </w:r>
      <w:r w:rsidR="005F0EF7">
        <w:t xml:space="preserve">General </w:t>
      </w:r>
      <w:proofErr w:type="gramStart"/>
      <w:r w:rsidR="005F0EF7">
        <w:t>child</w:t>
      </w:r>
      <w:proofErr w:type="gramEnd"/>
      <w:r w:rsidR="005F0EF7">
        <w:t xml:space="preserve"> benefits are not awarded on the basis of the parents’ income.</w:t>
      </w:r>
    </w:p>
    <w:p w14:paraId="734EC187" w14:textId="47A64F41" w:rsidR="00CF73BA" w:rsidRDefault="00EA08CF" w:rsidP="00DD048C">
      <w:pPr>
        <w:pStyle w:val="SingleTxtG"/>
      </w:pPr>
      <w:r>
        <w:t>4.2</w:t>
      </w:r>
      <w:r>
        <w:tab/>
      </w:r>
      <w:r w:rsidR="00DD048C">
        <w:t xml:space="preserve">On the other hand, the </w:t>
      </w:r>
      <w:r w:rsidR="00DD048C" w:rsidRPr="003A1675">
        <w:t>child budget</w:t>
      </w:r>
      <w:r w:rsidR="004C6460">
        <w:t xml:space="preserve">, which </w:t>
      </w:r>
      <w:proofErr w:type="gramStart"/>
      <w:r w:rsidR="004C6460">
        <w:t>was established</w:t>
      </w:r>
      <w:proofErr w:type="gramEnd"/>
      <w:r w:rsidR="004C6460">
        <w:t xml:space="preserve"> </w:t>
      </w:r>
      <w:r w:rsidR="004C6460" w:rsidRPr="00FE3E4F">
        <w:t>under the Child Budget Act of 2007</w:t>
      </w:r>
      <w:r w:rsidR="004C6460">
        <w:t xml:space="preserve">, </w:t>
      </w:r>
      <w:r w:rsidR="00DD048C">
        <w:t xml:space="preserve">is </w:t>
      </w:r>
      <w:r w:rsidR="002A4BED">
        <w:t xml:space="preserve">“means tested,” meaning that </w:t>
      </w:r>
      <w:r w:rsidR="00DD048C">
        <w:t>the amount of the budget is inversely related to the parents’ ability to pay the costs of raising and caring for children. The child budget may be paid to parents earning</w:t>
      </w:r>
      <w:r w:rsidR="00CD248F">
        <w:t xml:space="preserve"> a low annual income, and its </w:t>
      </w:r>
      <w:proofErr w:type="gramStart"/>
      <w:r w:rsidR="00CD248F">
        <w:t>amount also</w:t>
      </w:r>
      <w:proofErr w:type="gramEnd"/>
      <w:r w:rsidR="00CD248F">
        <w:t xml:space="preserve"> depends on the number of children and their ages</w:t>
      </w:r>
      <w:r w:rsidR="00DD048C">
        <w:t xml:space="preserve">. It accrues to the parent, not to the child. </w:t>
      </w:r>
      <w:r w:rsidR="00F014D0">
        <w:t xml:space="preserve">It </w:t>
      </w:r>
      <w:proofErr w:type="gramStart"/>
      <w:r w:rsidR="00F014D0">
        <w:t>was introduced</w:t>
      </w:r>
      <w:proofErr w:type="gramEnd"/>
      <w:r w:rsidR="00F014D0">
        <w:t xml:space="preserve"> as part of a social security provision after it had become apparent that </w:t>
      </w:r>
      <w:r w:rsidR="00513198">
        <w:t xml:space="preserve">many </w:t>
      </w:r>
      <w:r w:rsidR="00F014D0">
        <w:t xml:space="preserve">low-income families </w:t>
      </w:r>
      <w:r w:rsidR="00513198">
        <w:t>did not owe the minimum income tax required to benefit from the</w:t>
      </w:r>
      <w:r w:rsidR="00266485">
        <w:t xml:space="preserve"> existin</w:t>
      </w:r>
      <w:r w:rsidR="004A6677">
        <w:t xml:space="preserve">g child tax credit. </w:t>
      </w:r>
      <w:r w:rsidR="00DD048C" w:rsidRPr="002A4BED">
        <w:t>Aliens</w:t>
      </w:r>
      <w:r w:rsidR="00F7179B" w:rsidRPr="002A4BED">
        <w:t xml:space="preserve"> </w:t>
      </w:r>
      <w:r w:rsidR="00F014D0" w:rsidRPr="002A4BED">
        <w:t xml:space="preserve">who </w:t>
      </w:r>
      <w:proofErr w:type="gramStart"/>
      <w:r w:rsidR="00F014D0" w:rsidRPr="002A4BED">
        <w:t>have not been admitted</w:t>
      </w:r>
      <w:proofErr w:type="gramEnd"/>
      <w:r w:rsidR="00F014D0" w:rsidRPr="002A4BED">
        <w:t xml:space="preserve"> to the Netherlands</w:t>
      </w:r>
      <w:r w:rsidR="00DD048C" w:rsidRPr="002A4BED">
        <w:t xml:space="preserve"> are not eligible for general child </w:t>
      </w:r>
      <w:r w:rsidR="00DD048C" w:rsidRPr="002A4BED">
        <w:lastRenderedPageBreak/>
        <w:t>benefits or the child budget due to the principle of linking social entitlements to residence status.</w:t>
      </w:r>
    </w:p>
    <w:p w14:paraId="65DC2AF8" w14:textId="7CFAB02C" w:rsidR="00093243" w:rsidRDefault="00CF73BA" w:rsidP="00BE23D3">
      <w:pPr>
        <w:pStyle w:val="SingleTxtG"/>
      </w:pPr>
      <w:r>
        <w:t>4.3</w:t>
      </w:r>
      <w:r>
        <w:tab/>
      </w:r>
      <w:r w:rsidR="00043A97">
        <w:t xml:space="preserve">This </w:t>
      </w:r>
      <w:r>
        <w:t xml:space="preserve">linkage </w:t>
      </w:r>
      <w:r w:rsidR="00043A97">
        <w:t xml:space="preserve">principle, established </w:t>
      </w:r>
      <w:r w:rsidR="00043A97" w:rsidRPr="00767C1A">
        <w:t>under the Social Entitlements (Residence Status Act), aims primarily to ensure that an alien without</w:t>
      </w:r>
      <w:r w:rsidR="00043A97">
        <w:t xml:space="preserve"> an unconditional residence permit cannot claim entitlement to public provisions. The Act provides for three exceptions to this rule, in that public provisions relating to education, health care and legal aid are available to all aliens, </w:t>
      </w:r>
      <w:proofErr w:type="gramStart"/>
      <w:r w:rsidR="00043A97">
        <w:t>including</w:t>
      </w:r>
      <w:proofErr w:type="gramEnd"/>
      <w:r w:rsidR="00043A97">
        <w:t xml:space="preserve"> those without a residence permit.</w:t>
      </w:r>
      <w:r w:rsidR="001F05DE">
        <w:rPr>
          <w:rStyle w:val="FootnoteReference"/>
        </w:rPr>
        <w:footnoteReference w:id="19"/>
      </w:r>
      <w:r w:rsidR="00043A97">
        <w:t xml:space="preserve"> </w:t>
      </w:r>
    </w:p>
    <w:p w14:paraId="61730A38" w14:textId="3050110B" w:rsidR="0048494D" w:rsidRPr="00490D5C" w:rsidRDefault="00093243" w:rsidP="00BE23D3">
      <w:pPr>
        <w:pStyle w:val="SingleTxtG"/>
        <w:rPr>
          <w:lang w:val="en-US"/>
        </w:rPr>
      </w:pPr>
      <w:r>
        <w:t>4.</w:t>
      </w:r>
      <w:r w:rsidR="0086595B">
        <w:t>4</w:t>
      </w:r>
      <w:r>
        <w:tab/>
      </w:r>
      <w:r w:rsidR="00490D5C">
        <w:t xml:space="preserve">Moreover, in the Netherlands, the most basic provisions, such as medically necessary health care, are available to every alien residing in the country unlawfully. </w:t>
      </w:r>
      <w:r>
        <w:t>Although lawful</w:t>
      </w:r>
      <w:r w:rsidR="006B310B">
        <w:t>ly</w:t>
      </w:r>
      <w:r>
        <w:t xml:space="preserve"> resident aliens are not entitled to benefits through the regular social security system, alternative provisions are available to them. </w:t>
      </w:r>
      <w:r w:rsidR="000920A5">
        <w:t xml:space="preserve">Aliens awaiting a decision on an asylum application </w:t>
      </w:r>
      <w:proofErr w:type="gramStart"/>
      <w:r w:rsidR="000920A5">
        <w:t>are provided</w:t>
      </w:r>
      <w:proofErr w:type="gramEnd"/>
      <w:r w:rsidR="000920A5">
        <w:t xml:space="preserve"> with access to reception facilities, and can obtain a weekly financial allowance and other financial provisions. Aliens who are not asylum seekers are given a financial allowance and a </w:t>
      </w:r>
      <w:r>
        <w:t>medical</w:t>
      </w:r>
      <w:r w:rsidR="000920A5">
        <w:t xml:space="preserve"> expenses scheme to provide for the necessary means </w:t>
      </w:r>
      <w:r>
        <w:t>of</w:t>
      </w:r>
      <w:r w:rsidR="000920A5">
        <w:t xml:space="preserve"> subsistence</w:t>
      </w:r>
      <w:r w:rsidR="006D6FF9">
        <w:t>; reception facilities may be available if there is a prospect of the individual leaving the Netherlands</w:t>
      </w:r>
      <w:r w:rsidR="00490D5C">
        <w:t>.</w:t>
      </w:r>
      <w:r w:rsidR="00490D5C">
        <w:rPr>
          <w:rFonts w:hint="eastAsia"/>
          <w:lang w:eastAsia="zh-CN"/>
        </w:rPr>
        <w:t xml:space="preserve"> </w:t>
      </w:r>
      <w:r w:rsidR="000920A5">
        <w:t>Specific financial</w:t>
      </w:r>
      <w:r>
        <w:t xml:space="preserve"> provision</w:t>
      </w:r>
      <w:r w:rsidR="000D676A">
        <w:t xml:space="preserve">s </w:t>
      </w:r>
      <w:proofErr w:type="gramStart"/>
      <w:r w:rsidR="000D676A">
        <w:t>have</w:t>
      </w:r>
      <w:r>
        <w:t xml:space="preserve"> been made</w:t>
      </w:r>
      <w:proofErr w:type="gramEnd"/>
      <w:r>
        <w:t xml:space="preserve"> for mi</w:t>
      </w:r>
      <w:r w:rsidR="000920A5">
        <w:t xml:space="preserve">nors, a particularly vulnerable group. </w:t>
      </w:r>
      <w:r w:rsidR="00490D5C">
        <w:t>Extra reception facilities are available to v</w:t>
      </w:r>
      <w:proofErr w:type="spellStart"/>
      <w:r w:rsidR="00490D5C">
        <w:rPr>
          <w:lang w:val="en-US"/>
        </w:rPr>
        <w:t>ulnerable</w:t>
      </w:r>
      <w:proofErr w:type="spellEnd"/>
      <w:r w:rsidR="00490D5C">
        <w:rPr>
          <w:lang w:val="en-US"/>
        </w:rPr>
        <w:t xml:space="preserve"> aliens residing in the country illegally, including unaccompanied minors and aliens with medical problems whose legal remedies </w:t>
      </w:r>
      <w:proofErr w:type="gramStart"/>
      <w:r w:rsidR="00490D5C">
        <w:rPr>
          <w:lang w:val="en-US"/>
        </w:rPr>
        <w:t>have been exhausted</w:t>
      </w:r>
      <w:proofErr w:type="gramEnd"/>
      <w:r w:rsidR="00490D5C">
        <w:rPr>
          <w:lang w:val="en-US"/>
        </w:rPr>
        <w:t>.</w:t>
      </w:r>
      <w:r w:rsidR="003202BC" w:rsidRPr="003202BC">
        <w:t xml:space="preserve"> </w:t>
      </w:r>
      <w:r w:rsidR="004C6C78">
        <w:t>Following a Supreme Court decision of 21 September 2012, m</w:t>
      </w:r>
      <w:r w:rsidR="003202BC">
        <w:t xml:space="preserve">inor aliens who are not lawfully resident in the Netherlands and live with their family </w:t>
      </w:r>
      <w:proofErr w:type="gramStart"/>
      <w:r w:rsidR="003202BC">
        <w:t>are offered</w:t>
      </w:r>
      <w:proofErr w:type="gramEnd"/>
      <w:r w:rsidR="003202BC">
        <w:t xml:space="preserve"> shelter in a family accommodation centre if this is necessary to avert a humanitarian emergency. The families </w:t>
      </w:r>
      <w:r w:rsidR="003E69E8">
        <w:t>receive</w:t>
      </w:r>
      <w:r w:rsidR="00145FB5">
        <w:rPr>
          <w:lang w:val="en-US" w:eastAsia="zh-CN"/>
        </w:rPr>
        <w:t xml:space="preserve"> </w:t>
      </w:r>
      <w:r w:rsidR="003202BC">
        <w:t xml:space="preserve">shelter until they </w:t>
      </w:r>
      <w:r w:rsidR="00AB51AF">
        <w:t>d</w:t>
      </w:r>
      <w:r w:rsidR="002102E3">
        <w:t>epart</w:t>
      </w:r>
      <w:r w:rsidR="003202BC">
        <w:t xml:space="preserve"> for their country of origin, or until every child in the family has reached the age of majority.</w:t>
      </w:r>
    </w:p>
    <w:p w14:paraId="1EEFD1BD" w14:textId="2C567D9C" w:rsidR="001867C1" w:rsidRDefault="00EA08CF" w:rsidP="00BE23D3">
      <w:pPr>
        <w:pStyle w:val="SingleTxtG"/>
      </w:pPr>
      <w:r>
        <w:t>4.</w:t>
      </w:r>
      <w:r w:rsidR="0086595B">
        <w:t>5</w:t>
      </w:r>
      <w:r w:rsidR="0048494D">
        <w:tab/>
      </w:r>
      <w:r w:rsidR="001867C1">
        <w:t xml:space="preserve">The State party </w:t>
      </w:r>
      <w:r w:rsidR="00FA5460">
        <w:t xml:space="preserve">adds to the factual background of the complaint and acknowledges </w:t>
      </w:r>
      <w:r w:rsidR="001867C1">
        <w:t xml:space="preserve">that after living outside Uzbekistan for five years, the author lost her Uzbek nationality. </w:t>
      </w:r>
      <w:r w:rsidR="006667D1" w:rsidRPr="0062587B">
        <w:t xml:space="preserve">On 8 October 2014, the author and </w:t>
      </w:r>
      <w:r w:rsidR="00B2304B" w:rsidRPr="0062587B">
        <w:t>Y</w:t>
      </w:r>
      <w:r w:rsidR="006667D1" w:rsidRPr="0062587B">
        <w:t xml:space="preserve"> were granted </w:t>
      </w:r>
      <w:r w:rsidR="006667D1" w:rsidRPr="0062587B">
        <w:rPr>
          <w:i/>
        </w:rPr>
        <w:t xml:space="preserve">ex </w:t>
      </w:r>
      <w:proofErr w:type="spellStart"/>
      <w:r w:rsidR="006667D1" w:rsidRPr="0062587B">
        <w:rPr>
          <w:i/>
        </w:rPr>
        <w:t>proprio</w:t>
      </w:r>
      <w:proofErr w:type="spellEnd"/>
      <w:r w:rsidR="006667D1" w:rsidRPr="0062587B">
        <w:rPr>
          <w:i/>
        </w:rPr>
        <w:t xml:space="preserve"> </w:t>
      </w:r>
      <w:proofErr w:type="spellStart"/>
      <w:r w:rsidR="006667D1" w:rsidRPr="0062587B">
        <w:rPr>
          <w:i/>
        </w:rPr>
        <w:t>motu</w:t>
      </w:r>
      <w:proofErr w:type="spellEnd"/>
      <w:r w:rsidR="006667D1" w:rsidRPr="0062587B">
        <w:t xml:space="preserve"> a temporary regular residence permit valid from 13 June 2014 until 13 June 2015, on temporary humanitarian grounds, </w:t>
      </w:r>
      <w:proofErr w:type="gramStart"/>
      <w:r w:rsidR="006667D1" w:rsidRPr="0062587B">
        <w:t>on the basis of</w:t>
      </w:r>
      <w:proofErr w:type="gramEnd"/>
      <w:r w:rsidR="006667D1" w:rsidRPr="0062587B">
        <w:t xml:space="preserve"> the no-fault policy. The residence permit </w:t>
      </w:r>
      <w:proofErr w:type="gramStart"/>
      <w:r w:rsidR="006667D1" w:rsidRPr="0062587B">
        <w:t>was extended</w:t>
      </w:r>
      <w:proofErr w:type="gramEnd"/>
      <w:r w:rsidR="006667D1" w:rsidRPr="0062587B">
        <w:t xml:space="preserve"> until 13 June 2016. It </w:t>
      </w:r>
      <w:proofErr w:type="gramStart"/>
      <w:r w:rsidR="006667D1" w:rsidRPr="0062587B">
        <w:t>was granted</w:t>
      </w:r>
      <w:proofErr w:type="gramEnd"/>
      <w:r w:rsidR="006667D1" w:rsidRPr="0062587B">
        <w:t xml:space="preserve"> after the Repatriation and Departure Service had issued a memorandum on 13 June 2014 expressing the view that the author and her family were unable to leave the Netherlands through no fault of their own. With this memo, the cumulative conditions for granting a residence permit on a no-fault basis </w:t>
      </w:r>
      <w:proofErr w:type="gramStart"/>
      <w:r w:rsidR="006667D1" w:rsidRPr="0062587B">
        <w:t>had been met</w:t>
      </w:r>
      <w:proofErr w:type="gramEnd"/>
      <w:r w:rsidR="006667D1" w:rsidRPr="0062587B">
        <w:t>.</w:t>
      </w:r>
      <w:r w:rsidR="006667D1">
        <w:t xml:space="preserve"> </w:t>
      </w:r>
    </w:p>
    <w:p w14:paraId="67F7C18E" w14:textId="1836BE2B" w:rsidR="004803F1" w:rsidRDefault="00EF7082" w:rsidP="00BE23D3">
      <w:pPr>
        <w:pStyle w:val="SingleTxtG"/>
      </w:pPr>
      <w:r>
        <w:t>4.</w:t>
      </w:r>
      <w:r w:rsidR="0086595B">
        <w:t>6</w:t>
      </w:r>
      <w:r>
        <w:tab/>
        <w:t>Regarding general child benefit</w:t>
      </w:r>
      <w:r w:rsidR="002B7802">
        <w:t>s</w:t>
      </w:r>
      <w:r>
        <w:t xml:space="preserve">, the State party informs that in mid-2014, due to an error in which one file was mistaken for another, the author was erroneously considered </w:t>
      </w:r>
      <w:proofErr w:type="gramStart"/>
      <w:r>
        <w:t>to be a</w:t>
      </w:r>
      <w:proofErr w:type="gramEnd"/>
      <w:r>
        <w:t xml:space="preserve"> lawful resident, and in a decision dated 1 December 2014, the author was gra</w:t>
      </w:r>
      <w:r w:rsidR="0002563D">
        <w:t>nted general child benefit</w:t>
      </w:r>
      <w:r w:rsidR="002B7802">
        <w:t>s</w:t>
      </w:r>
      <w:r w:rsidR="005C2415">
        <w:t xml:space="preserve"> and was paid </w:t>
      </w:r>
      <w:r w:rsidR="00E16492">
        <w:t xml:space="preserve">retroactive </w:t>
      </w:r>
      <w:r>
        <w:t xml:space="preserve">statutory interest. This error </w:t>
      </w:r>
      <w:proofErr w:type="gramStart"/>
      <w:r>
        <w:t>came to light</w:t>
      </w:r>
      <w:proofErr w:type="gramEnd"/>
      <w:r>
        <w:t xml:space="preserve"> during the examination of the present communication. </w:t>
      </w:r>
      <w:r w:rsidR="00313592">
        <w:t xml:space="preserve">On 23 July 2015, the decision granting </w:t>
      </w:r>
      <w:r w:rsidR="000C1880">
        <w:t xml:space="preserve">general child </w:t>
      </w:r>
      <w:r w:rsidR="00313592">
        <w:t>benefit</w:t>
      </w:r>
      <w:r w:rsidR="002B7802">
        <w:t>s</w:t>
      </w:r>
      <w:r w:rsidR="00313592">
        <w:t xml:space="preserve"> </w:t>
      </w:r>
      <w:proofErr w:type="gramStart"/>
      <w:r w:rsidR="00313592">
        <w:t>was revoked</w:t>
      </w:r>
      <w:proofErr w:type="gramEnd"/>
      <w:r w:rsidR="00313592">
        <w:t>, though repayment was not requested.</w:t>
      </w:r>
    </w:p>
    <w:p w14:paraId="54FA9C00" w14:textId="6DA733EC" w:rsidR="001E78A0" w:rsidRDefault="004803F1" w:rsidP="00D8328B">
      <w:pPr>
        <w:pStyle w:val="SingleTxtG"/>
      </w:pPr>
      <w:r>
        <w:t>4.</w:t>
      </w:r>
      <w:r w:rsidR="0086595B">
        <w:t>7</w:t>
      </w:r>
      <w:r w:rsidR="001867C1">
        <w:tab/>
      </w:r>
      <w:r w:rsidR="00C05944">
        <w:t xml:space="preserve">The </w:t>
      </w:r>
      <w:r w:rsidR="00BE23D3">
        <w:t xml:space="preserve">State party </w:t>
      </w:r>
      <w:r w:rsidR="00356DAD">
        <w:t>considers that th</w:t>
      </w:r>
      <w:r w:rsidR="002B7802">
        <w:t>e communication is i</w:t>
      </w:r>
      <w:r w:rsidR="001E68CB">
        <w:t xml:space="preserve">nadmissible under article 5 (2) </w:t>
      </w:r>
      <w:r w:rsidR="002B7802">
        <w:t xml:space="preserve">(b) of the Optional Protocol </w:t>
      </w:r>
      <w:r w:rsidR="00356DAD">
        <w:t xml:space="preserve">because the </w:t>
      </w:r>
      <w:r w:rsidR="002B7802">
        <w:t>author has not exhausted domestic remedies, as the</w:t>
      </w:r>
      <w:r w:rsidR="007041A0">
        <w:t xml:space="preserve"> author has a pending appeal of the decision of the</w:t>
      </w:r>
      <w:r w:rsidR="002B7802">
        <w:t xml:space="preserve"> District Court of The Hague</w:t>
      </w:r>
      <w:r w:rsidR="007041A0">
        <w:t xml:space="preserve">, dated 10 April 2013, </w:t>
      </w:r>
      <w:r w:rsidR="00356DAD">
        <w:t>concerning her application for general child benefit</w:t>
      </w:r>
      <w:r w:rsidR="00356DAD" w:rsidRPr="00FE3E4F">
        <w:t>s</w:t>
      </w:r>
      <w:r w:rsidR="00FE3E4F" w:rsidRPr="00FE3E4F">
        <w:t>.</w:t>
      </w:r>
      <w:r w:rsidR="002D164D" w:rsidRPr="00FE3E4F">
        <w:t xml:space="preserve"> It </w:t>
      </w:r>
      <w:proofErr w:type="gramStart"/>
      <w:r w:rsidR="002D164D" w:rsidRPr="00FE3E4F">
        <w:t>is emphasized</w:t>
      </w:r>
      <w:proofErr w:type="gramEnd"/>
      <w:r w:rsidR="002D164D" w:rsidRPr="00FE3E4F">
        <w:t xml:space="preserve"> that entitlement to the child budget</w:t>
      </w:r>
      <w:r w:rsidR="009E5673">
        <w:t xml:space="preserve"> </w:t>
      </w:r>
      <w:r w:rsidR="002D164D" w:rsidRPr="00FE3E4F">
        <w:t>is contingent upon on entitlement to general child benefits</w:t>
      </w:r>
      <w:r w:rsidR="009E5673">
        <w:t>.</w:t>
      </w:r>
      <w:r w:rsidR="00D8328B">
        <w:t xml:space="preserve"> </w:t>
      </w:r>
    </w:p>
    <w:p w14:paraId="547FA47A" w14:textId="5956B364" w:rsidR="00B4533F" w:rsidRDefault="00313592" w:rsidP="00BE23D3">
      <w:pPr>
        <w:pStyle w:val="SingleTxtG"/>
      </w:pPr>
      <w:r>
        <w:t>4.</w:t>
      </w:r>
      <w:r w:rsidR="0086595B">
        <w:t>8</w:t>
      </w:r>
      <w:r w:rsidR="003202BC">
        <w:tab/>
      </w:r>
      <w:r w:rsidR="00DA3034">
        <w:t xml:space="preserve">The communication is also </w:t>
      </w:r>
      <w:r w:rsidR="009C6F79">
        <w:t>without merit</w:t>
      </w:r>
      <w:r w:rsidR="00DA3034">
        <w:t xml:space="preserve">. Article 23 (1) of the Covenant does not require provision of a child budget. Since the refusal to </w:t>
      </w:r>
      <w:proofErr w:type="gramStart"/>
      <w:r w:rsidR="00DA3034">
        <w:t>grant</w:t>
      </w:r>
      <w:proofErr w:type="gramEnd"/>
      <w:r w:rsidR="00DA3034">
        <w:t xml:space="preserve"> the child budget is not an obstacle to family life, the issue of government interference or failure to act with respect to the life of the author and </w:t>
      </w:r>
      <w:r w:rsidR="00B2304B">
        <w:t>Y</w:t>
      </w:r>
      <w:r w:rsidR="00DA3034">
        <w:t xml:space="preserve"> as a family unit does not arise. Contrary to the author’s argument, the Covenant does not create an affirmative obligation to protect the family unit by providing financial assistance, let alone any specific child budget or child benefit. Neither general child benefits nor the child budget </w:t>
      </w:r>
      <w:r w:rsidR="00D36F55">
        <w:t>is a</w:t>
      </w:r>
      <w:r w:rsidR="00DA3034">
        <w:t xml:space="preserve"> </w:t>
      </w:r>
      <w:r w:rsidR="00D36F55">
        <w:t>g</w:t>
      </w:r>
      <w:r w:rsidR="00DA3034">
        <w:t>eneral income support scheme</w:t>
      </w:r>
      <w:r w:rsidR="00D36F55">
        <w:t xml:space="preserve"> </w:t>
      </w:r>
      <w:r w:rsidR="00DA3034">
        <w:t>paid to families with children as</w:t>
      </w:r>
      <w:r w:rsidR="003D3010">
        <w:t xml:space="preserve"> minimum subsistence income, even if individuals have resided in the country for a long period with the knowledge of the State.</w:t>
      </w:r>
      <w:r w:rsidR="00DA3034">
        <w:t xml:space="preserve"> </w:t>
      </w:r>
      <w:r w:rsidR="0010778F">
        <w:t xml:space="preserve">Even if article 23 </w:t>
      </w:r>
      <w:r w:rsidR="009F27EA">
        <w:t>does</w:t>
      </w:r>
      <w:r w:rsidR="0010778F">
        <w:t xml:space="preserve"> create affirmative </w:t>
      </w:r>
      <w:r w:rsidR="0010778F">
        <w:lastRenderedPageBreak/>
        <w:t xml:space="preserve">obligations, these would relate more to measures to protect family unity and family reunification. </w:t>
      </w:r>
    </w:p>
    <w:p w14:paraId="0FF31330" w14:textId="427FC5D7" w:rsidR="003202BC" w:rsidRDefault="00B4533F" w:rsidP="00BE23D3">
      <w:pPr>
        <w:pStyle w:val="SingleTxtG"/>
      </w:pPr>
      <w:r>
        <w:t>4.</w:t>
      </w:r>
      <w:r w:rsidR="0086595B">
        <w:t>9</w:t>
      </w:r>
      <w:r>
        <w:tab/>
      </w:r>
      <w:r w:rsidR="00C37FFA">
        <w:t>It is clear from the Committee’s general comment No. 17 that article 24 of the Covenant concerns protecting children against harm to their physical or psychological well</w:t>
      </w:r>
      <w:r w:rsidR="000D0720">
        <w:t>-</w:t>
      </w:r>
      <w:r w:rsidR="00C37FFA">
        <w:t>being, and that parents have the primary responsibility, including financial responsibility, for their children.</w:t>
      </w:r>
      <w:r w:rsidR="00C64105">
        <w:rPr>
          <w:rStyle w:val="FootnoteReference"/>
        </w:rPr>
        <w:footnoteReference w:id="20"/>
      </w:r>
      <w:r w:rsidR="00C37FFA">
        <w:t xml:space="preserve"> </w:t>
      </w:r>
      <w:r w:rsidR="002A405E">
        <w:t xml:space="preserve">In the author’s case, she acted on </w:t>
      </w:r>
      <w:r w:rsidR="005A49BC">
        <w:t>this</w:t>
      </w:r>
      <w:r w:rsidR="002A405E">
        <w:t xml:space="preserve"> responsibility by providing herself with a place to live in The Hague </w:t>
      </w:r>
      <w:r w:rsidR="0028164E">
        <w:t>from 15 June 2011, the date on which s</w:t>
      </w:r>
      <w:r w:rsidR="002A405E">
        <w:t>he applied for</w:t>
      </w:r>
      <w:r w:rsidR="0028164E">
        <w:t xml:space="preserve"> the child budget, </w:t>
      </w:r>
      <w:r w:rsidR="000A4C3D">
        <w:t>to</w:t>
      </w:r>
      <w:r w:rsidR="0028164E">
        <w:t xml:space="preserve"> 26 March 2014.</w:t>
      </w:r>
      <w:r w:rsidR="002A405E">
        <w:t xml:space="preserve"> </w:t>
      </w:r>
      <w:r w:rsidR="00CF5FD9">
        <w:t xml:space="preserve">It is emphasized that </w:t>
      </w:r>
      <w:r w:rsidR="004C6A16">
        <w:t>need is not a criterion for being granted the benefit</w:t>
      </w:r>
      <w:r w:rsidR="00A30516">
        <w:t xml:space="preserve">, </w:t>
      </w:r>
      <w:r w:rsidR="00CF5FD9">
        <w:t>and that basic provisions are available to unlawful resident aliens in the cou</w:t>
      </w:r>
      <w:r w:rsidR="007308C8">
        <w:t>ntry.</w:t>
      </w:r>
      <w:r w:rsidR="0028164E">
        <w:t xml:space="preserve"> Indeed, on 26 March 2014, the municipality of The Hague offered shelter to the author and </w:t>
      </w:r>
      <w:r w:rsidR="00B2304B">
        <w:t>Y</w:t>
      </w:r>
      <w:r w:rsidR="0028164E">
        <w:t xml:space="preserve">, and on 2 May 2014, they </w:t>
      </w:r>
      <w:proofErr w:type="gramStart"/>
      <w:r w:rsidR="0028164E">
        <w:t>were offered</w:t>
      </w:r>
      <w:proofErr w:type="gramEnd"/>
      <w:r w:rsidR="0028164E">
        <w:t xml:space="preserve"> places at a family location. </w:t>
      </w:r>
      <w:r w:rsidR="000F3A5A">
        <w:t xml:space="preserve">Since December 2014, they </w:t>
      </w:r>
      <w:proofErr w:type="gramStart"/>
      <w:r w:rsidR="000F3A5A">
        <w:t>have been provided</w:t>
      </w:r>
      <w:proofErr w:type="gramEnd"/>
      <w:r w:rsidR="000F3A5A">
        <w:t xml:space="preserve"> with “regular housing.” </w:t>
      </w:r>
      <w:r w:rsidR="00843441">
        <w:t>Moreover, t</w:t>
      </w:r>
      <w:r w:rsidR="00FD4EF4">
        <w:t xml:space="preserve">he author’s allegations regarding an alleged lack of accommodation are irrelevant to the subject matter of the communication. </w:t>
      </w:r>
      <w:r w:rsidR="009C7A1C">
        <w:t xml:space="preserve">The cases cited by the author </w:t>
      </w:r>
      <w:r w:rsidR="00ED17CC">
        <w:t>do not support</w:t>
      </w:r>
      <w:r w:rsidR="00457CA1">
        <w:t xml:space="preserve"> the notion</w:t>
      </w:r>
      <w:r w:rsidR="009C7A1C">
        <w:t xml:space="preserve"> that article 24 creates specific </w:t>
      </w:r>
      <w:r w:rsidR="00ED17CC">
        <w:t xml:space="preserve">child rights that indirectly </w:t>
      </w:r>
      <w:r w:rsidR="00594A94">
        <w:t>arise</w:t>
      </w:r>
      <w:r w:rsidR="00ED17CC">
        <w:t xml:space="preserve"> </w:t>
      </w:r>
      <w:r w:rsidR="009C7A1C">
        <w:t xml:space="preserve">from government decisions regarding the child’s parents. </w:t>
      </w:r>
      <w:r w:rsidR="00A45036">
        <w:t xml:space="preserve">It </w:t>
      </w:r>
      <w:proofErr w:type="gramStart"/>
      <w:r w:rsidR="00A45036">
        <w:t>is emphasized</w:t>
      </w:r>
      <w:proofErr w:type="gramEnd"/>
      <w:r w:rsidR="00A45036">
        <w:t xml:space="preserve"> that neither type of child benefit constitutes an entitlement of the child. For the same reason, the Netherlands made a reservation to article 26 of the Convention on the Rights of the Child, to the effect that the provision does not imply an independent entitlement of children to social security, including social insurance. </w:t>
      </w:r>
      <w:r w:rsidR="00787C57">
        <w:t>Both general c</w:t>
      </w:r>
      <w:r w:rsidR="00A45036">
        <w:t xml:space="preserve">hild benefits and </w:t>
      </w:r>
      <w:r w:rsidR="00787C57">
        <w:t xml:space="preserve">the </w:t>
      </w:r>
      <w:r w:rsidR="00A45036">
        <w:t>child budge</w:t>
      </w:r>
      <w:r w:rsidR="00EF0CE1">
        <w:t>t fall within the scope</w:t>
      </w:r>
      <w:r w:rsidR="00A45036">
        <w:t xml:space="preserve"> of this reservation. </w:t>
      </w:r>
      <w:r w:rsidR="00EF0CE1">
        <w:t xml:space="preserve">In the Netherlands, a minor only has independent social security entitlements in exceptional situations. </w:t>
      </w:r>
    </w:p>
    <w:p w14:paraId="3924B449" w14:textId="4D844C0F" w:rsidR="00B3436F" w:rsidRDefault="007308C8" w:rsidP="00BE23D3">
      <w:pPr>
        <w:pStyle w:val="SingleTxtG"/>
      </w:pPr>
      <w:r>
        <w:t>4.1</w:t>
      </w:r>
      <w:r w:rsidR="0086595B">
        <w:t>0</w:t>
      </w:r>
      <w:r>
        <w:tab/>
      </w:r>
      <w:r w:rsidR="00E65A5A">
        <w:t>Regarding article 26</w:t>
      </w:r>
      <w:r w:rsidR="004E5F4D">
        <w:t xml:space="preserve"> of the Covenant</w:t>
      </w:r>
      <w:r w:rsidR="00950D90">
        <w:t xml:space="preserve">, </w:t>
      </w:r>
      <w:r w:rsidR="00912284">
        <w:t>distinctions b</w:t>
      </w:r>
      <w:r w:rsidR="006E7E80">
        <w:t xml:space="preserve">ased on residence status are </w:t>
      </w:r>
      <w:proofErr w:type="gramStart"/>
      <w:r w:rsidR="006E7E80">
        <w:t xml:space="preserve">by </w:t>
      </w:r>
      <w:r w:rsidR="00912284">
        <w:t>no means unusual</w:t>
      </w:r>
      <w:proofErr w:type="gramEnd"/>
      <w:r w:rsidR="00912284">
        <w:t xml:space="preserve"> </w:t>
      </w:r>
      <w:r w:rsidR="00E65A5A">
        <w:t>in the co</w:t>
      </w:r>
      <w:r w:rsidR="00950D90">
        <w:t>ntext of human rights treaties</w:t>
      </w:r>
      <w:r w:rsidR="00E65A5A">
        <w:t>.</w:t>
      </w:r>
      <w:r w:rsidR="00E65A5A">
        <w:rPr>
          <w:rStyle w:val="FootnoteReference"/>
        </w:rPr>
        <w:footnoteReference w:id="21"/>
      </w:r>
      <w:r w:rsidR="00E65A5A">
        <w:t xml:space="preserve"> </w:t>
      </w:r>
      <w:r w:rsidR="00DF5690">
        <w:t xml:space="preserve">Moreover, article 26 matches the scope and content of article 14 of the European Convention for the Protection of Human Rights and Fundamental Freedoms. </w:t>
      </w:r>
      <w:r w:rsidR="00AC6E8A">
        <w:t xml:space="preserve">These provisions do not prohibit all forms of unequal treatment, but rather only those forms of unequal treatment that qualify as discrimination. Discrimination arises in the absence of a sufficiently objective and reasonable justification, a legitimate aim, and reasonable and proportionate means to achieve that aim. </w:t>
      </w:r>
    </w:p>
    <w:p w14:paraId="089FF280" w14:textId="2A7FF2BA" w:rsidR="007308C8" w:rsidRDefault="00B3436F" w:rsidP="00BE23D3">
      <w:pPr>
        <w:pStyle w:val="SingleTxtG"/>
      </w:pPr>
      <w:r>
        <w:t>4.1</w:t>
      </w:r>
      <w:r w:rsidR="0086595B">
        <w:t>1</w:t>
      </w:r>
      <w:r>
        <w:tab/>
      </w:r>
      <w:r w:rsidR="008A7870">
        <w:t xml:space="preserve">According to the jurisprudence of the European Court of Human Rights, </w:t>
      </w:r>
      <w:r>
        <w:t xml:space="preserve">it is </w:t>
      </w:r>
      <w:r w:rsidR="008A7870">
        <w:t xml:space="preserve">only in situations where discrimination is based </w:t>
      </w:r>
      <w:r w:rsidR="008A7870" w:rsidRPr="008A7870">
        <w:rPr>
          <w:i/>
        </w:rPr>
        <w:t>exclusively</w:t>
      </w:r>
      <w:r w:rsidR="008A7870">
        <w:t xml:space="preserve"> on nationality</w:t>
      </w:r>
      <w:r>
        <w:t xml:space="preserve"> that</w:t>
      </w:r>
      <w:r w:rsidR="008A7870">
        <w:t xml:space="preserve"> very </w:t>
      </w:r>
      <w:r>
        <w:t>“</w:t>
      </w:r>
      <w:r w:rsidR="008A7870">
        <w:t>weighty reasons</w:t>
      </w:r>
      <w:r>
        <w:t>”</w:t>
      </w:r>
      <w:r w:rsidR="008A7870">
        <w:t xml:space="preserve"> must exist to </w:t>
      </w:r>
      <w:r>
        <w:t>establish</w:t>
      </w:r>
      <w:r w:rsidR="008A7870">
        <w:t xml:space="preserve"> an objective and reasonable justification. </w:t>
      </w:r>
      <w:r w:rsidR="00544971">
        <w:t xml:space="preserve">In the author’s case, the distinction </w:t>
      </w:r>
      <w:proofErr w:type="gramStart"/>
      <w:r w:rsidR="00544971">
        <w:t>is based</w:t>
      </w:r>
      <w:proofErr w:type="gramEnd"/>
      <w:r w:rsidR="00544971">
        <w:t xml:space="preserve"> </w:t>
      </w:r>
      <w:r w:rsidR="00A5165D">
        <w:t>instead</w:t>
      </w:r>
      <w:r w:rsidR="00544971">
        <w:t xml:space="preserve"> on residence status, and is sufficiently justified, given the objective and reasonable justification for treating a country’s own nationals differently from</w:t>
      </w:r>
      <w:r w:rsidR="00116A43">
        <w:t xml:space="preserve"> unlawful</w:t>
      </w:r>
      <w:r w:rsidR="00841C74">
        <w:t>ly</w:t>
      </w:r>
      <w:r w:rsidR="00116A43">
        <w:t xml:space="preserve"> resident </w:t>
      </w:r>
      <w:r w:rsidR="00544971">
        <w:t xml:space="preserve">aliens with regard to social entitlements. </w:t>
      </w:r>
      <w:r w:rsidR="00116A43">
        <w:t>Indeed, an unqualified obligation to treat unlawful</w:t>
      </w:r>
      <w:r w:rsidR="0081133E">
        <w:t>ly</w:t>
      </w:r>
      <w:r w:rsidR="00116A43">
        <w:t xml:space="preserve"> resident aliens equally with a country’s own nationals and lawful residents would deprive a State of the possibility to pursue an immigration policy to protect the country’s economic well</w:t>
      </w:r>
      <w:r w:rsidR="0062587B">
        <w:t>-</w:t>
      </w:r>
      <w:r w:rsidR="00116A43">
        <w:t xml:space="preserve">being. </w:t>
      </w:r>
      <w:r w:rsidR="00C64105">
        <w:t xml:space="preserve">It is therefore both objective and reasonable that the State party limits entitlement to general child benefits and </w:t>
      </w:r>
      <w:r w:rsidR="00787C57">
        <w:t xml:space="preserve">the </w:t>
      </w:r>
      <w:r w:rsidR="00C64105">
        <w:t xml:space="preserve">child budget to lawful residents. </w:t>
      </w:r>
      <w:r w:rsidR="00567A33">
        <w:t>According to the European Court of Human Rights, States have the right to control the entry, residence and expulsion of aliens, and measures aimed at ensuring effective immigration control may serve a legitimate aim of preserving the economic wellbeing of a country.</w:t>
      </w:r>
      <w:r w:rsidR="00567A33">
        <w:rPr>
          <w:rStyle w:val="FootnoteReference"/>
        </w:rPr>
        <w:footnoteReference w:id="22"/>
      </w:r>
      <w:r w:rsidR="00497C99">
        <w:t xml:space="preserve"> Neither the European Convention of Human Rights nor any U.N. treaty protects entitlements to child benefits. </w:t>
      </w:r>
    </w:p>
    <w:p w14:paraId="7A3F5E46" w14:textId="43CB55B8" w:rsidR="003D3010" w:rsidRDefault="00850B94" w:rsidP="00BE23D3">
      <w:pPr>
        <w:pStyle w:val="SingleTxtG"/>
      </w:pPr>
      <w:r>
        <w:t>4.1</w:t>
      </w:r>
      <w:r w:rsidR="0086595B">
        <w:t>2</w:t>
      </w:r>
      <w:r>
        <w:tab/>
        <w:t xml:space="preserve">Concerning the argument that due to the statelessness of the author and </w:t>
      </w:r>
      <w:r w:rsidR="00B2304B">
        <w:t>Y</w:t>
      </w:r>
      <w:r w:rsidR="003D3010">
        <w:t xml:space="preserve">, no legitimate aim </w:t>
      </w:r>
      <w:proofErr w:type="gramStart"/>
      <w:r w:rsidR="003D3010">
        <w:t>is served</w:t>
      </w:r>
      <w:proofErr w:type="gramEnd"/>
      <w:r w:rsidR="003D3010">
        <w:t xml:space="preserve"> by the distinction made in the eligibility criteria for child benefits, the State party observes that </w:t>
      </w:r>
      <w:r>
        <w:t xml:space="preserve">Dutch law allows for the granting of residence permits to individuals who have demonstrated that they have become stateless through no fault of their own. The author did not have such a residence permit </w:t>
      </w:r>
      <w:r w:rsidR="004B5BC2">
        <w:t xml:space="preserve">in 2011, </w:t>
      </w:r>
      <w:r>
        <w:t xml:space="preserve">when she applied for the </w:t>
      </w:r>
      <w:r w:rsidR="007A48D0">
        <w:t>child budget</w:t>
      </w:r>
      <w:r>
        <w:t xml:space="preserve">. </w:t>
      </w:r>
      <w:r w:rsidR="00E833A3">
        <w:t xml:space="preserve">Thus, </w:t>
      </w:r>
      <w:r w:rsidR="004B5BC2">
        <w:t xml:space="preserve">at that time, </w:t>
      </w:r>
      <w:r w:rsidR="00E833A3">
        <w:t>her situation did not differ from that of other unlawful</w:t>
      </w:r>
      <w:r w:rsidR="0081133E">
        <w:t>ly</w:t>
      </w:r>
      <w:r w:rsidR="00E833A3">
        <w:t xml:space="preserve"> resident </w:t>
      </w:r>
      <w:r w:rsidR="00E833A3">
        <w:lastRenderedPageBreak/>
        <w:t xml:space="preserve">aliens. </w:t>
      </w:r>
      <w:r w:rsidR="00004BAA">
        <w:t>Moreover, a</w:t>
      </w:r>
      <w:r w:rsidR="0071252F">
        <w:t xml:space="preserve">t the time of application, she was under an obligation to leave the Netherlands </w:t>
      </w:r>
      <w:r w:rsidR="00F24687">
        <w:t xml:space="preserve">pursuant to </w:t>
      </w:r>
      <w:r w:rsidR="0071252F">
        <w:t xml:space="preserve">a judicial decision </w:t>
      </w:r>
      <w:r w:rsidR="006236E1">
        <w:t>of</w:t>
      </w:r>
      <w:r w:rsidR="0071252F">
        <w:t xml:space="preserve"> the highest instance. </w:t>
      </w:r>
      <w:r w:rsidR="00E833A3">
        <w:t xml:space="preserve">If all types of financial </w:t>
      </w:r>
      <w:r w:rsidR="00913096">
        <w:t>benefits</w:t>
      </w:r>
      <w:r w:rsidR="00E833A3">
        <w:t xml:space="preserve"> </w:t>
      </w:r>
      <w:proofErr w:type="gramStart"/>
      <w:r w:rsidR="00E833A3">
        <w:t>were granted</w:t>
      </w:r>
      <w:proofErr w:type="gramEnd"/>
      <w:r w:rsidR="00E833A3">
        <w:t xml:space="preserve"> to unlawful</w:t>
      </w:r>
      <w:r w:rsidR="0081133E">
        <w:t>ly</w:t>
      </w:r>
      <w:r w:rsidR="00E833A3">
        <w:t xml:space="preserve"> resident aliens and stateless individuals – regardless of the reason</w:t>
      </w:r>
      <w:r w:rsidR="00913096">
        <w:t>s</w:t>
      </w:r>
      <w:r w:rsidR="00E833A3">
        <w:t xml:space="preserve"> for their statelessness – this would result in a semblance of legality and the establishment of such a strong legal position that it would be virtually impossible to expel them. It would also render it unnecessary for aliens to apply for a residence permit through standard procedures. </w:t>
      </w:r>
    </w:p>
    <w:p w14:paraId="457A569E" w14:textId="28122BCF" w:rsidR="00B04F20" w:rsidRPr="001711ED" w:rsidRDefault="00E833A3" w:rsidP="003017E1">
      <w:pPr>
        <w:pStyle w:val="SingleTxtG"/>
        <w:rPr>
          <w:rStyle w:val="SingleTxtGChar"/>
          <w:lang w:val="en-US"/>
        </w:rPr>
      </w:pPr>
      <w:r>
        <w:t>4.1</w:t>
      </w:r>
      <w:r w:rsidR="0086595B">
        <w:t>3</w:t>
      </w:r>
      <w:r>
        <w:tab/>
      </w:r>
      <w:r w:rsidR="00914096">
        <w:t xml:space="preserve">With regard to the author’s argument that </w:t>
      </w:r>
      <w:r w:rsidR="00C178A8">
        <w:t>Y</w:t>
      </w:r>
      <w:r w:rsidR="00914096">
        <w:t xml:space="preserve"> has suffered indirect discrimination because the child budget, while paid to her parents, is intended for her, the State party reiterates that the contribution is granted to the parents, who are free to spend it as they wish, without any obligation to spend it on child welfare. </w:t>
      </w:r>
      <w:r w:rsidR="00F81D69">
        <w:t xml:space="preserve">Moreover, </w:t>
      </w:r>
      <w:r w:rsidR="00C178A8">
        <w:t>Y</w:t>
      </w:r>
      <w:r w:rsidR="00F81D69">
        <w:t xml:space="preserve"> has not been subject to discrimination, as all parents and their children who are unlawful residents are ineligible for the general child benefit and </w:t>
      </w:r>
      <w:r w:rsidR="0032239F">
        <w:t xml:space="preserve">the </w:t>
      </w:r>
      <w:r w:rsidR="00F81D69">
        <w:t>child budget under the Social Entitlements (Residence Status Act.)</w:t>
      </w:r>
      <w:r w:rsidR="00E60B89">
        <w:t xml:space="preserve"> </w:t>
      </w:r>
    </w:p>
    <w:p w14:paraId="2D3F9A12" w14:textId="77777777" w:rsidR="00B1017E" w:rsidRDefault="0008667F" w:rsidP="0008667F">
      <w:pPr>
        <w:pStyle w:val="H23G"/>
      </w:pPr>
      <w:r>
        <w:tab/>
      </w:r>
      <w:r>
        <w:tab/>
      </w:r>
      <w:r w:rsidR="00B1017E" w:rsidRPr="00B1017E">
        <w:t>Author’s comments on the State party’s observations</w:t>
      </w:r>
    </w:p>
    <w:p w14:paraId="7C0677DB" w14:textId="287A424C" w:rsidR="00B00614" w:rsidRDefault="00B1017E" w:rsidP="00B00614">
      <w:pPr>
        <w:pStyle w:val="SingleTxtG"/>
      </w:pPr>
      <w:r>
        <w:t>5.1</w:t>
      </w:r>
      <w:r>
        <w:tab/>
      </w:r>
      <w:r w:rsidR="003E6942">
        <w:t>In comments dated</w:t>
      </w:r>
      <w:r w:rsidR="00136144">
        <w:t xml:space="preserve"> </w:t>
      </w:r>
      <w:r w:rsidR="00356DAD">
        <w:t>1 December 2015</w:t>
      </w:r>
      <w:r w:rsidR="000E43D3">
        <w:t xml:space="preserve"> and 18 April 2016</w:t>
      </w:r>
      <w:r w:rsidR="00136144">
        <w:t>, the</w:t>
      </w:r>
      <w:r w:rsidR="00356DAD">
        <w:t xml:space="preserve"> author submits that the pending proceedings concerning her application for general child benefits </w:t>
      </w:r>
      <w:r w:rsidR="00CB37CB">
        <w:t>are</w:t>
      </w:r>
      <w:r w:rsidR="00356DAD">
        <w:t xml:space="preserve"> irrelevant, because her application for </w:t>
      </w:r>
      <w:r w:rsidR="00ED33D1">
        <w:t xml:space="preserve">the </w:t>
      </w:r>
      <w:r w:rsidR="00356DAD">
        <w:t xml:space="preserve">child budget </w:t>
      </w:r>
      <w:proofErr w:type="gramStart"/>
      <w:r w:rsidR="00356DAD">
        <w:t xml:space="preserve">was </w:t>
      </w:r>
      <w:r w:rsidR="00E41EDF">
        <w:t>filed</w:t>
      </w:r>
      <w:proofErr w:type="gramEnd"/>
      <w:r w:rsidR="00356DAD">
        <w:t xml:space="preserve"> separately, and the two kinds of benefits are not connected.</w:t>
      </w:r>
      <w:r w:rsidR="00DE1672">
        <w:t xml:space="preserve"> In the final decision of the Council of State on the application for </w:t>
      </w:r>
      <w:r w:rsidR="00ED33D1">
        <w:t xml:space="preserve">the </w:t>
      </w:r>
      <w:r w:rsidR="00DE1672">
        <w:t xml:space="preserve">child budget, there is no reference to the pending case concerning general child benefits. The Council of State did not consider that the pending case rendered </w:t>
      </w:r>
      <w:r w:rsidR="00ED33D1">
        <w:t xml:space="preserve">inadmissible </w:t>
      </w:r>
      <w:r w:rsidR="00DE1672">
        <w:t>the matter concernin</w:t>
      </w:r>
      <w:r w:rsidR="00ED33D1">
        <w:t>g the child budget</w:t>
      </w:r>
      <w:r w:rsidR="00DE1672">
        <w:t xml:space="preserve">. </w:t>
      </w:r>
    </w:p>
    <w:p w14:paraId="6C1019B9" w14:textId="7C930891" w:rsidR="00C37FD0" w:rsidRDefault="009A6499" w:rsidP="00136144">
      <w:pPr>
        <w:pStyle w:val="SingleTxtG"/>
      </w:pPr>
      <w:r>
        <w:t>5.2</w:t>
      </w:r>
      <w:r>
        <w:tab/>
      </w:r>
      <w:r w:rsidR="00837E88">
        <w:t>In its observations on the merits</w:t>
      </w:r>
      <w:r w:rsidR="00A23522">
        <w:t xml:space="preserve">, the State party disregarded both the poverty faced by the author and Y, and Y’s interests as a vulnerable child. </w:t>
      </w:r>
      <w:r w:rsidR="00837E88">
        <w:t xml:space="preserve">These circumstances warrant a more flexible application of the Linkage Policy. The three exceptions to the Linkage Policy cited by the State party (relating to education for minors, health care in life-threatening situations, and legal aid as services accessible to individuals without a residence permit) do not ensure the State party’s obligation to protect the interests of the child. The </w:t>
      </w:r>
      <w:r w:rsidR="00300947">
        <w:t xml:space="preserve">author and </w:t>
      </w:r>
      <w:r w:rsidR="00C178A8">
        <w:t>Y</w:t>
      </w:r>
      <w:r w:rsidR="00300947">
        <w:t xml:space="preserve"> subsist on an income</w:t>
      </w:r>
      <w:r w:rsidR="00837E88">
        <w:t xml:space="preserve"> level far below the </w:t>
      </w:r>
      <w:r w:rsidR="004926F5">
        <w:t>Dutch poverty threshold</w:t>
      </w:r>
      <w:r w:rsidR="00300947">
        <w:t>, and</w:t>
      </w:r>
      <w:r w:rsidR="00CF350B">
        <w:t xml:space="preserve"> they have no means to change their situation</w:t>
      </w:r>
      <w:r w:rsidR="004926F5">
        <w:t>.</w:t>
      </w:r>
      <w:r w:rsidR="00837E88">
        <w:t xml:space="preserve"> Whereas the State party maintains that basic provisions were available, this is not an accurate reflection of their circumstances: they were fully dependent on third parties for housing, food and clothing. The State party did not intervene, despite multiple confirmations of statelessness by the Uzbek authorities. Only on 2 May 2014 did a representative of the State party offer</w:t>
      </w:r>
      <w:r w:rsidR="006F66A4">
        <w:t xml:space="preserve"> to the author and Y</w:t>
      </w:r>
      <w:r w:rsidR="00837E88">
        <w:t xml:space="preserve"> shelter in a rudimentary family facility. The State party does not contest the destitution the author and </w:t>
      </w:r>
      <w:r w:rsidR="002D6F2C">
        <w:t>Y</w:t>
      </w:r>
      <w:r w:rsidR="00837E88">
        <w:t xml:space="preserve"> face. </w:t>
      </w:r>
    </w:p>
    <w:p w14:paraId="19C3040E" w14:textId="3A918B84" w:rsidR="00A57805" w:rsidRDefault="00A57805" w:rsidP="00136144">
      <w:pPr>
        <w:pStyle w:val="SingleTxtG"/>
      </w:pPr>
      <w:r>
        <w:t>5.3</w:t>
      </w:r>
      <w:r>
        <w:tab/>
      </w:r>
      <w:r w:rsidR="00646E67">
        <w:t>The State party’s position that</w:t>
      </w:r>
      <w:r w:rsidR="00ED33D1">
        <w:t xml:space="preserve"> the child budget is not need-based is incorrect, </w:t>
      </w:r>
      <w:r w:rsidR="00646E67">
        <w:t>as t</w:t>
      </w:r>
      <w:r>
        <w:t xml:space="preserve">he State party’s explanatory memorandum of the Child Budget Act clearly refers to the </w:t>
      </w:r>
      <w:r w:rsidR="00940193">
        <w:t xml:space="preserve">child budget as a </w:t>
      </w:r>
      <w:proofErr w:type="spellStart"/>
      <w:r w:rsidRPr="00611774">
        <w:rPr>
          <w:i/>
        </w:rPr>
        <w:t>tegemoetkoming</w:t>
      </w:r>
      <w:proofErr w:type="spellEnd"/>
      <w:r>
        <w:t>,</w:t>
      </w:r>
      <w:r w:rsidR="00E01D7C">
        <w:t xml:space="preserve"> which translates as</w:t>
      </w:r>
      <w:r>
        <w:t xml:space="preserve"> </w:t>
      </w:r>
      <w:r w:rsidR="003B0996">
        <w:t xml:space="preserve">a </w:t>
      </w:r>
      <w:r>
        <w:t xml:space="preserve">“reimbursement” or allowance” toward the cost of children. It is means tested, and </w:t>
      </w:r>
      <w:r w:rsidR="00646E67">
        <w:t xml:space="preserve">thus presumes the </w:t>
      </w:r>
      <w:r>
        <w:t xml:space="preserve">need for reimbursement of costs of children. </w:t>
      </w:r>
    </w:p>
    <w:p w14:paraId="5B7F2625" w14:textId="6067AE38" w:rsidR="003E6942" w:rsidRPr="00B1017E" w:rsidRDefault="00646E67" w:rsidP="000E43D3">
      <w:pPr>
        <w:pStyle w:val="SingleTxtG"/>
      </w:pPr>
      <w:r>
        <w:t>5.4</w:t>
      </w:r>
      <w:r>
        <w:tab/>
      </w:r>
      <w:r w:rsidR="00045B1F">
        <w:t>Although the State party argues that in furtherance of the legiti</w:t>
      </w:r>
      <w:r w:rsidR="00B26C5B">
        <w:t>mate aim of immigration control</w:t>
      </w:r>
      <w:r w:rsidR="00045B1F">
        <w:t xml:space="preserve"> it is reasonable to exclude the author and </w:t>
      </w:r>
      <w:r w:rsidR="002D6F2C">
        <w:t>Y</w:t>
      </w:r>
      <w:r w:rsidR="00045B1F">
        <w:t xml:space="preserve"> from child benefits, the State party </w:t>
      </w:r>
      <w:proofErr w:type="gramStart"/>
      <w:r w:rsidR="00034B0B">
        <w:t xml:space="preserve">was </w:t>
      </w:r>
      <w:r w:rsidR="00B01BFE">
        <w:t>informed</w:t>
      </w:r>
      <w:proofErr w:type="gramEnd"/>
      <w:r w:rsidR="00034B0B">
        <w:t xml:space="preserve"> many years ago</w:t>
      </w:r>
      <w:r w:rsidR="00045B1F">
        <w:t xml:space="preserve"> that they are stateless, and does not substantively address its obligations in relation to their statelessness in its observations. </w:t>
      </w:r>
      <w:r w:rsidR="00034B0B">
        <w:t>The State party does not acknowledge that it could have remedied the authors’ statelessness through its own policies.</w:t>
      </w:r>
      <w:r w:rsidR="00E60B89">
        <w:t xml:space="preserve"> </w:t>
      </w:r>
    </w:p>
    <w:p w14:paraId="40B7BBAD" w14:textId="77777777" w:rsidR="000128E3" w:rsidRPr="001103BA" w:rsidRDefault="008F4C04" w:rsidP="00C20E37">
      <w:pPr>
        <w:pStyle w:val="H23G"/>
      </w:pPr>
      <w:r w:rsidRPr="001103BA">
        <w:tab/>
      </w:r>
      <w:r w:rsidRPr="001103BA">
        <w:tab/>
      </w:r>
      <w:r w:rsidR="000128E3" w:rsidRPr="00526698">
        <w:t>Issues and proceedings before the Committee</w:t>
      </w:r>
    </w:p>
    <w:p w14:paraId="361F9985" w14:textId="45D91415" w:rsidR="000128E3" w:rsidRPr="00290E28" w:rsidRDefault="000128E3" w:rsidP="00290E28">
      <w:pPr>
        <w:keepNext/>
        <w:keepLines/>
        <w:spacing w:before="240" w:after="120"/>
        <w:rPr>
          <w:i/>
        </w:rPr>
      </w:pPr>
      <w:r w:rsidRPr="001103BA">
        <w:tab/>
      </w:r>
      <w:r w:rsidRPr="001103BA">
        <w:tab/>
      </w:r>
      <w:r w:rsidRPr="001103BA">
        <w:rPr>
          <w:i/>
        </w:rPr>
        <w:t>Consideration of admissibility</w:t>
      </w:r>
    </w:p>
    <w:p w14:paraId="10A5BA54" w14:textId="58993311" w:rsidR="00290E28" w:rsidRDefault="007416C8" w:rsidP="007416C8">
      <w:pPr>
        <w:pStyle w:val="SingleTxtG"/>
      </w:pPr>
      <w:r>
        <w:t>6</w:t>
      </w:r>
      <w:r w:rsidR="00290E28">
        <w:t>.1</w:t>
      </w:r>
      <w:r>
        <w:tab/>
      </w:r>
      <w:r w:rsidR="00290E28" w:rsidRPr="001103BA">
        <w:t>Before considering any claim contained in a communication, the Committee must decide, in accordance with rule 93 of its rules of procedure, whether the communication is admissible under the Optional Protocol.</w:t>
      </w:r>
    </w:p>
    <w:p w14:paraId="755162D9" w14:textId="3AD5B288" w:rsidR="007416C8" w:rsidRPr="001103BA" w:rsidRDefault="00290E28" w:rsidP="007416C8">
      <w:pPr>
        <w:pStyle w:val="SingleTxtG"/>
      </w:pPr>
      <w:r>
        <w:t>6.2</w:t>
      </w:r>
      <w:r>
        <w:tab/>
      </w:r>
      <w:r w:rsidR="007416C8" w:rsidRPr="005909D1">
        <w:t xml:space="preserve">The Committee has ascertained, </w:t>
      </w:r>
      <w:r w:rsidR="007416C8" w:rsidRPr="00CB48AB">
        <w:t>as required under article 5</w:t>
      </w:r>
      <w:r w:rsidR="008618F2" w:rsidRPr="00CB48AB">
        <w:t xml:space="preserve"> </w:t>
      </w:r>
      <w:r w:rsidR="007416C8" w:rsidRPr="00CB48AB">
        <w:t>(2)</w:t>
      </w:r>
      <w:r w:rsidR="001E68CB">
        <w:t xml:space="preserve"> </w:t>
      </w:r>
      <w:r w:rsidR="007416C8" w:rsidRPr="00CB48AB">
        <w:t>(a) of the Optional Protocol, that the same matter is not being examined under another procedure</w:t>
      </w:r>
      <w:r w:rsidR="007416C8" w:rsidRPr="005909D1">
        <w:t xml:space="preserve"> of international </w:t>
      </w:r>
      <w:r w:rsidR="007416C8" w:rsidRPr="005909D1">
        <w:lastRenderedPageBreak/>
        <w:t>investigation or settlement</w:t>
      </w:r>
      <w:r w:rsidR="007416C8">
        <w:t xml:space="preserve"> and that it</w:t>
      </w:r>
      <w:r w:rsidR="007416C8" w:rsidRPr="00683A64">
        <w:t xml:space="preserve"> is not precluded </w:t>
      </w:r>
      <w:r w:rsidR="007416C8">
        <w:t>by</w:t>
      </w:r>
      <w:r w:rsidR="007416C8" w:rsidRPr="00683A64">
        <w:t xml:space="preserve"> article 5 </w:t>
      </w:r>
      <w:r w:rsidR="007416C8">
        <w:t>(</w:t>
      </w:r>
      <w:r w:rsidR="007416C8" w:rsidRPr="00683A64">
        <w:t>2</w:t>
      </w:r>
      <w:r w:rsidR="00B80698">
        <w:t>)</w:t>
      </w:r>
      <w:r w:rsidR="001E68CB">
        <w:t xml:space="preserve"> </w:t>
      </w:r>
      <w:r w:rsidR="007416C8">
        <w:t xml:space="preserve">(a) of the Optional </w:t>
      </w:r>
      <w:r w:rsidR="008C763D">
        <w:t>P</w:t>
      </w:r>
      <w:r w:rsidR="007416C8" w:rsidRPr="00683A64">
        <w:t>rotocol</w:t>
      </w:r>
      <w:r w:rsidR="007416C8" w:rsidRPr="006511FC">
        <w:t xml:space="preserve"> </w:t>
      </w:r>
      <w:r w:rsidR="007416C8" w:rsidRPr="00683A64">
        <w:t>from consider</w:t>
      </w:r>
      <w:r w:rsidR="007416C8">
        <w:t>ing</w:t>
      </w:r>
      <w:r w:rsidR="007416C8" w:rsidRPr="00683A64">
        <w:t xml:space="preserve"> the </w:t>
      </w:r>
      <w:r w:rsidR="003D15C1">
        <w:t>communication</w:t>
      </w:r>
      <w:r w:rsidR="007416C8" w:rsidRPr="00683A64">
        <w:t>.</w:t>
      </w:r>
    </w:p>
    <w:p w14:paraId="4E4A0F60" w14:textId="371DA481" w:rsidR="000128E3" w:rsidRPr="001103BA" w:rsidRDefault="00B61E5D" w:rsidP="0042792C">
      <w:pPr>
        <w:pStyle w:val="SingleTxtG"/>
      </w:pPr>
      <w:r w:rsidRPr="001103BA">
        <w:t>6</w:t>
      </w:r>
      <w:r w:rsidR="000128E3" w:rsidRPr="001103BA">
        <w:t>.</w:t>
      </w:r>
      <w:r w:rsidR="007416C8">
        <w:t>3</w:t>
      </w:r>
      <w:r w:rsidR="000128E3" w:rsidRPr="001103BA">
        <w:tab/>
      </w:r>
      <w:r w:rsidR="00A75B60">
        <w:t>The Committee notes the author’s claims</w:t>
      </w:r>
      <w:r w:rsidR="00E05796">
        <w:t xml:space="preserve">, in connection with the denial of the child budget, on behalf of herself and Y under </w:t>
      </w:r>
      <w:r w:rsidR="00E05796" w:rsidRPr="00A72D0A">
        <w:t xml:space="preserve">articles 23 (1), and 26, read in conjunction with articles 23 (1) and 24 (1) of the Covenant; </w:t>
      </w:r>
      <w:r w:rsidR="00E05796">
        <w:t xml:space="preserve">and on behalf of Y under </w:t>
      </w:r>
      <w:r w:rsidR="00E05796" w:rsidRPr="00A72D0A">
        <w:t>article 24 (1) of the Covenant</w:t>
      </w:r>
      <w:r w:rsidR="00A75B60">
        <w:t xml:space="preserve">. </w:t>
      </w:r>
      <w:r w:rsidR="00230B82">
        <w:t xml:space="preserve">The Committee </w:t>
      </w:r>
      <w:r w:rsidR="00A75B60">
        <w:t xml:space="preserve">also </w:t>
      </w:r>
      <w:r w:rsidR="00230B82">
        <w:t xml:space="preserve">notes </w:t>
      </w:r>
      <w:r w:rsidR="00330269">
        <w:t xml:space="preserve">that the State party contests </w:t>
      </w:r>
      <w:r w:rsidR="00230B82">
        <w:t xml:space="preserve">the author’s claim that </w:t>
      </w:r>
      <w:r w:rsidR="00D93310">
        <w:t xml:space="preserve">she has exhausted all </w:t>
      </w:r>
      <w:r w:rsidR="00230B82">
        <w:t>available domestic remedies</w:t>
      </w:r>
      <w:r w:rsidR="00330269">
        <w:t xml:space="preserve">, </w:t>
      </w:r>
      <w:r w:rsidR="00BD31C9">
        <w:t>based on</w:t>
      </w:r>
      <w:r w:rsidR="00DE59B2">
        <w:t xml:space="preserve"> her pending appeal regarding her application for general child benefits. I</w:t>
      </w:r>
      <w:r w:rsidR="00A412B5">
        <w:t xml:space="preserve">n this regard, the Committee notes the State party’s information </w:t>
      </w:r>
      <w:r w:rsidR="00A412B5" w:rsidRPr="00A412B5">
        <w:t>that entitlement to the child budget is contingent upon on entitlement to general child benefits.</w:t>
      </w:r>
      <w:r w:rsidR="00A412B5">
        <w:t xml:space="preserve"> </w:t>
      </w:r>
      <w:r w:rsidR="002A077E">
        <w:t xml:space="preserve">However, the Committee observes that the </w:t>
      </w:r>
      <w:r w:rsidR="00FA70A8">
        <w:t xml:space="preserve">author </w:t>
      </w:r>
      <w:r w:rsidR="003B7BEB">
        <w:t xml:space="preserve">had </w:t>
      </w:r>
      <w:r w:rsidR="00FA70A8">
        <w:t>appealed the negative decision of 10 April</w:t>
      </w:r>
      <w:r w:rsidR="000D676A">
        <w:t xml:space="preserve"> 2013 of the District Court of T</w:t>
      </w:r>
      <w:r w:rsidR="00FA70A8">
        <w:t xml:space="preserve">he Hague concerning her application for general child benefits </w:t>
      </w:r>
      <w:r w:rsidR="006A07D7">
        <w:t>before</w:t>
      </w:r>
      <w:r w:rsidR="003B7BEB">
        <w:t xml:space="preserve"> she submitted the present communication </w:t>
      </w:r>
      <w:r w:rsidR="006A07D7">
        <w:t xml:space="preserve">on </w:t>
      </w:r>
      <w:r w:rsidR="00FA70A8">
        <w:t>17 September 2014</w:t>
      </w:r>
      <w:r w:rsidR="00C14FD4">
        <w:t>.</w:t>
      </w:r>
      <w:r w:rsidR="00FA70A8">
        <w:t xml:space="preserve"> </w:t>
      </w:r>
      <w:r w:rsidR="0050020F">
        <w:t>T</w:t>
      </w:r>
      <w:r w:rsidR="0050020F" w:rsidRPr="0069625B">
        <w:t xml:space="preserve">he Committee recalls </w:t>
      </w:r>
      <w:r w:rsidR="005D653B">
        <w:t xml:space="preserve">that the requirement of </w:t>
      </w:r>
      <w:r w:rsidR="0050020F" w:rsidRPr="0069625B">
        <w:t>article 5</w:t>
      </w:r>
      <w:r w:rsidR="0050020F">
        <w:t xml:space="preserve"> (2)</w:t>
      </w:r>
      <w:r w:rsidR="0050020F">
        <w:rPr>
          <w:rFonts w:hint="eastAsia"/>
          <w:lang w:eastAsia="zh-CN"/>
        </w:rPr>
        <w:t xml:space="preserve"> </w:t>
      </w:r>
      <w:r w:rsidR="0050020F">
        <w:t>(b) of the Optional P</w:t>
      </w:r>
      <w:r w:rsidR="0050020F" w:rsidRPr="00DE38EF">
        <w:t>rotocol</w:t>
      </w:r>
      <w:r w:rsidR="005D653B">
        <w:t xml:space="preserve"> to exhaust all available domestic remedies is not the rule where the application of the remedies is unreasonably prolonged.</w:t>
      </w:r>
      <w:r w:rsidR="0050020F">
        <w:t xml:space="preserve"> </w:t>
      </w:r>
      <w:r w:rsidR="00FA70A8">
        <w:t xml:space="preserve">In the absence of information </w:t>
      </w:r>
      <w:r w:rsidR="004768D6">
        <w:t>explaining</w:t>
      </w:r>
      <w:r w:rsidR="00FA70A8">
        <w:t xml:space="preserve"> the delay </w:t>
      </w:r>
      <w:r w:rsidR="00DC130F">
        <w:t xml:space="preserve">of </w:t>
      </w:r>
      <w:r w:rsidR="005E6AAB">
        <w:t>over</w:t>
      </w:r>
      <w:r w:rsidR="00DC130F">
        <w:t xml:space="preserve"> four years </w:t>
      </w:r>
      <w:r w:rsidR="00FA70A8">
        <w:t xml:space="preserve">in processing </w:t>
      </w:r>
      <w:r w:rsidR="003B6428">
        <w:t>the author’s appeal</w:t>
      </w:r>
      <w:r w:rsidR="009E5B89">
        <w:t xml:space="preserve"> concerning general child benefits</w:t>
      </w:r>
      <w:r w:rsidR="003B6428">
        <w:t xml:space="preserve">, </w:t>
      </w:r>
      <w:r w:rsidR="00FA70A8">
        <w:t xml:space="preserve">the Committee considers that </w:t>
      </w:r>
      <w:r w:rsidR="00186587">
        <w:t>the application of this remedy</w:t>
      </w:r>
      <w:r w:rsidR="00FA70A8">
        <w:t xml:space="preserve"> </w:t>
      </w:r>
      <w:proofErr w:type="gramStart"/>
      <w:r w:rsidR="002E33C5">
        <w:t>has been</w:t>
      </w:r>
      <w:r w:rsidR="00FA70A8">
        <w:t xml:space="preserve"> </w:t>
      </w:r>
      <w:r w:rsidR="004D1494">
        <w:t>unreasonably</w:t>
      </w:r>
      <w:r w:rsidR="00FA70A8">
        <w:t xml:space="preserve"> prol</w:t>
      </w:r>
      <w:r w:rsidR="00A525D9">
        <w:t>onged</w:t>
      </w:r>
      <w:proofErr w:type="gramEnd"/>
      <w:r w:rsidR="00A525D9">
        <w:t xml:space="preserve">. </w:t>
      </w:r>
      <w:r w:rsidR="00705608">
        <w:t>It also notes the author’s argument that</w:t>
      </w:r>
      <w:r w:rsidR="00AD562F">
        <w:t>, when rendering a final merits decision concerning the child budget application,</w:t>
      </w:r>
      <w:r w:rsidR="00705608">
        <w:t xml:space="preserve"> </w:t>
      </w:r>
      <w:r w:rsidR="00AD562F">
        <w:t xml:space="preserve">the Council of State did not refer to the pending general child benefits application and did not consider it an obstacle to admissibility. </w:t>
      </w:r>
      <w:r w:rsidR="003B0996">
        <w:t>G</w:t>
      </w:r>
      <w:r w:rsidR="002E33C5">
        <w:t xml:space="preserve">iven these circumstances, </w:t>
      </w:r>
      <w:r w:rsidR="00A525D9">
        <w:t>the</w:t>
      </w:r>
      <w:r w:rsidR="003B0996">
        <w:t xml:space="preserve"> Committee considers that the</w:t>
      </w:r>
      <w:r w:rsidR="002E33C5">
        <w:t xml:space="preserve"> sole</w:t>
      </w:r>
      <w:r w:rsidR="00A525D9">
        <w:t xml:space="preserve"> fact that the author has not demonstrated entitlement to general child benefits does not preclude the Committee from examining her claims</w:t>
      </w:r>
      <w:r w:rsidR="006026B0">
        <w:t xml:space="preserve"> relating to</w:t>
      </w:r>
      <w:r w:rsidR="00A525D9">
        <w:t xml:space="preserve"> </w:t>
      </w:r>
      <w:r w:rsidR="00013E95">
        <w:t xml:space="preserve">entitlement to </w:t>
      </w:r>
      <w:r w:rsidR="00A525D9">
        <w:t xml:space="preserve">the child budget. </w:t>
      </w:r>
      <w:r w:rsidR="00B75402">
        <w:t>Thus, i</w:t>
      </w:r>
      <w:r w:rsidR="004F0E7A">
        <w:t xml:space="preserve">n </w:t>
      </w:r>
      <w:r w:rsidR="00663F36">
        <w:t xml:space="preserve">the </w:t>
      </w:r>
      <w:r w:rsidR="004F0E7A">
        <w:t>absence of other objections from the State party</w:t>
      </w:r>
      <w:r w:rsidR="00D50A06">
        <w:t xml:space="preserve"> regarding the exhaustion of domestic remedies by the author</w:t>
      </w:r>
      <w:r w:rsidR="004F0E7A">
        <w:t>, t</w:t>
      </w:r>
      <w:r w:rsidR="00383635">
        <w:t xml:space="preserve">he Committee </w:t>
      </w:r>
      <w:r w:rsidR="004A3577">
        <w:t xml:space="preserve">considers that article 5 (2) (b) of the Optional Protocol does not constitute a barrier to the admissibility of </w:t>
      </w:r>
      <w:r w:rsidR="00C268CF">
        <w:t>the aspects of</w:t>
      </w:r>
      <w:r w:rsidR="00CA6F3D">
        <w:t xml:space="preserve"> </w:t>
      </w:r>
      <w:r w:rsidR="004A3577">
        <w:t>the communication</w:t>
      </w:r>
      <w:r w:rsidR="00C268CF">
        <w:t xml:space="preserve"> pertaining to the denial of the child budget</w:t>
      </w:r>
      <w:r w:rsidR="004A3577">
        <w:t>.</w:t>
      </w:r>
    </w:p>
    <w:p w14:paraId="2263008D" w14:textId="2084817E" w:rsidR="007F6BEE" w:rsidRDefault="006464C9" w:rsidP="004B4A2D">
      <w:pPr>
        <w:pStyle w:val="SingleTxtG"/>
      </w:pPr>
      <w:r w:rsidRPr="008B2905">
        <w:t>6.</w:t>
      </w:r>
      <w:r w:rsidR="00B25FA5">
        <w:t>4</w:t>
      </w:r>
      <w:r w:rsidRPr="008B2905">
        <w:tab/>
      </w:r>
      <w:r w:rsidR="004430E8">
        <w:t xml:space="preserve">The Committee </w:t>
      </w:r>
      <w:r w:rsidR="00FD193B">
        <w:t xml:space="preserve">also </w:t>
      </w:r>
      <w:r w:rsidR="000071E1">
        <w:t xml:space="preserve">notes the author’s claim </w:t>
      </w:r>
      <w:r w:rsidR="00A75B60">
        <w:t xml:space="preserve">under article 24 (3) of the Covenant </w:t>
      </w:r>
      <w:r w:rsidR="000071E1">
        <w:t xml:space="preserve">that she and Y </w:t>
      </w:r>
      <w:r w:rsidR="00A75B60">
        <w:t>are unable to obtain a formal declaration that they are stateless.</w:t>
      </w:r>
      <w:r w:rsidR="000071E1">
        <w:t xml:space="preserve"> However, the Committee </w:t>
      </w:r>
      <w:r w:rsidR="005F5B64">
        <w:t>observes</w:t>
      </w:r>
      <w:r w:rsidR="004430E8">
        <w:t xml:space="preserve"> that the author does not </w:t>
      </w:r>
      <w:r w:rsidR="00ED50DC">
        <w:t>appear</w:t>
      </w:r>
      <w:r w:rsidR="000071E1">
        <w:t xml:space="preserve"> to have raised </w:t>
      </w:r>
      <w:r w:rsidR="00C2696E">
        <w:t>this claim before the domestic authorities</w:t>
      </w:r>
      <w:r w:rsidR="004430E8">
        <w:t xml:space="preserve">. </w:t>
      </w:r>
      <w:r w:rsidR="000071E1">
        <w:t xml:space="preserve">The Committee therefore considers that </w:t>
      </w:r>
      <w:r w:rsidR="00F76B7D">
        <w:t xml:space="preserve">it is precluded by article 5 (2) (b) from examining </w:t>
      </w:r>
      <w:r w:rsidR="000E2CDC">
        <w:t>the author’s claim under article 24 (3)</w:t>
      </w:r>
      <w:r w:rsidR="00F76B7D">
        <w:t xml:space="preserve"> of the </w:t>
      </w:r>
      <w:r w:rsidR="000E2CDC">
        <w:t>Covenant</w:t>
      </w:r>
      <w:r w:rsidR="00F76B7D">
        <w:t xml:space="preserve">. </w:t>
      </w:r>
    </w:p>
    <w:p w14:paraId="5430DC88" w14:textId="073CB106" w:rsidR="006464C9" w:rsidRDefault="007F6BEE" w:rsidP="004B4A2D">
      <w:pPr>
        <w:pStyle w:val="SingleTxtG"/>
      </w:pPr>
      <w:proofErr w:type="gramStart"/>
      <w:r>
        <w:t>6.5</w:t>
      </w:r>
      <w:r>
        <w:tab/>
      </w:r>
      <w:r w:rsidR="006464C9" w:rsidRPr="008B2905">
        <w:t>The Committee finds</w:t>
      </w:r>
      <w:r w:rsidR="006464C9">
        <w:t xml:space="preserve"> </w:t>
      </w:r>
      <w:r w:rsidR="00E03B57">
        <w:t xml:space="preserve">that </w:t>
      </w:r>
      <w:r w:rsidR="00E11F6A">
        <w:t xml:space="preserve">for the purpose of admissibility, </w:t>
      </w:r>
      <w:r w:rsidR="006464C9">
        <w:t>the author</w:t>
      </w:r>
      <w:r w:rsidR="00E03B57">
        <w:t xml:space="preserve"> has sufficiently substantiated her</w:t>
      </w:r>
      <w:r w:rsidR="006464C9">
        <w:t xml:space="preserve"> </w:t>
      </w:r>
      <w:r w:rsidR="00C35FBB">
        <w:t>claims</w:t>
      </w:r>
      <w:r w:rsidR="006464C9">
        <w:t xml:space="preserve"> </w:t>
      </w:r>
      <w:r w:rsidR="00E03B57">
        <w:t xml:space="preserve">on behalf of herself and Y under </w:t>
      </w:r>
      <w:r w:rsidR="00E03B57" w:rsidRPr="00A72D0A">
        <w:t xml:space="preserve">articles 23 (1), and 26, read in conjunction with articles 23 (1) and 24 (1) of the Covenant; </w:t>
      </w:r>
      <w:r w:rsidR="00352E79">
        <w:t xml:space="preserve">and on behalf of Y under </w:t>
      </w:r>
      <w:r w:rsidR="00E03B57" w:rsidRPr="00A72D0A">
        <w:t>article 24 (1) of the Covenant</w:t>
      </w:r>
      <w:r w:rsidR="00352E79">
        <w:t>,</w:t>
      </w:r>
      <w:r w:rsidR="00E03B57">
        <w:t xml:space="preserve"> </w:t>
      </w:r>
      <w:r w:rsidR="006464C9">
        <w:t xml:space="preserve">and proceeds to </w:t>
      </w:r>
      <w:r w:rsidR="00CA5082">
        <w:t>consider the</w:t>
      </w:r>
      <w:r w:rsidR="00E11F6A">
        <w:t>se claims</w:t>
      </w:r>
      <w:r w:rsidR="00CA5082">
        <w:t xml:space="preserve"> on the merits.</w:t>
      </w:r>
      <w:proofErr w:type="gramEnd"/>
      <w:r w:rsidR="00FB048C">
        <w:t xml:space="preserve"> </w:t>
      </w:r>
    </w:p>
    <w:p w14:paraId="7189382D" w14:textId="77777777" w:rsidR="006464C9" w:rsidRDefault="009A6499" w:rsidP="009A6499">
      <w:pPr>
        <w:pStyle w:val="H4G"/>
      </w:pPr>
      <w:r>
        <w:tab/>
      </w:r>
      <w:r>
        <w:tab/>
      </w:r>
      <w:r w:rsidR="006464C9" w:rsidRPr="006464C9">
        <w:t>Consideration of the merits</w:t>
      </w:r>
    </w:p>
    <w:p w14:paraId="383D1055" w14:textId="77777777" w:rsidR="006464C9" w:rsidRDefault="006464C9" w:rsidP="004B4A2D">
      <w:pPr>
        <w:pStyle w:val="SingleTxtG"/>
      </w:pPr>
      <w:r>
        <w:t>7.1</w:t>
      </w:r>
      <w:r>
        <w:tab/>
      </w:r>
      <w:r w:rsidR="00C8006F" w:rsidRPr="005909D1">
        <w:t>The Committee has considered the present communication in light of all the information submitted by the parties, in accordance with article 5 (1) of the Optional Protocol.</w:t>
      </w:r>
    </w:p>
    <w:p w14:paraId="09E0EF77" w14:textId="768665A1" w:rsidR="00841B91" w:rsidRDefault="00C8006F" w:rsidP="005E296B">
      <w:pPr>
        <w:pStyle w:val="SingleTxtG"/>
      </w:pPr>
      <w:r>
        <w:t>7.2</w:t>
      </w:r>
      <w:r>
        <w:tab/>
      </w:r>
      <w:r w:rsidR="00EE35B4">
        <w:t xml:space="preserve">The Committee notes the author’s claims </w:t>
      </w:r>
      <w:r w:rsidR="00052931">
        <w:t>that by</w:t>
      </w:r>
      <w:r w:rsidR="00FA2CBD">
        <w:t xml:space="preserve"> rejecting her </w:t>
      </w:r>
      <w:r w:rsidR="00052931">
        <w:t>application for a child budget, the State party</w:t>
      </w:r>
      <w:r w:rsidR="00377E43">
        <w:t xml:space="preserve"> failed to provide </w:t>
      </w:r>
      <w:r w:rsidR="006E3057">
        <w:t>measures of protection required by Y on account of her status as a minor</w:t>
      </w:r>
      <w:r w:rsidR="00804E7F">
        <w:t xml:space="preserve"> under article</w:t>
      </w:r>
      <w:r w:rsidR="00377E43">
        <w:t xml:space="preserve"> 24 (1) of the Covenant. </w:t>
      </w:r>
      <w:r w:rsidR="005E296B">
        <w:t xml:space="preserve">In this matter, the Committee </w:t>
      </w:r>
      <w:proofErr w:type="gramStart"/>
      <w:r w:rsidR="005E296B">
        <w:t>is not called upon</w:t>
      </w:r>
      <w:proofErr w:type="gramEnd"/>
      <w:r w:rsidR="005E296B">
        <w:t xml:space="preserve"> to decide generally upon the obligations of States </w:t>
      </w:r>
      <w:r w:rsidR="00844868">
        <w:t xml:space="preserve">parties to the Covenant </w:t>
      </w:r>
      <w:r w:rsidR="005E296B">
        <w:t xml:space="preserve">to provide </w:t>
      </w:r>
      <w:r w:rsidR="00541B2A">
        <w:t>child</w:t>
      </w:r>
      <w:r w:rsidR="005E296B">
        <w:t xml:space="preserve"> benefits, nor does it decide the extent to which it is justified to limit entitlement to such benefits based on residency status. Rather, the Committee limits itself t</w:t>
      </w:r>
      <w:r w:rsidR="005E296B" w:rsidRPr="005E296B">
        <w:t xml:space="preserve">o the question </w:t>
      </w:r>
      <w:r w:rsidR="005E296B">
        <w:t xml:space="preserve">of whether, in the particular circumstances of this case, the denial of the author’s application for the child budget violated </w:t>
      </w:r>
      <w:r w:rsidR="00541B2A">
        <w:t>Y’s</w:t>
      </w:r>
      <w:r w:rsidR="005E296B">
        <w:t xml:space="preserve"> rights under </w:t>
      </w:r>
      <w:r w:rsidR="006E3057">
        <w:t xml:space="preserve">article 24 (1) of </w:t>
      </w:r>
      <w:r w:rsidR="005E296B">
        <w:t>the Covenant.</w:t>
      </w:r>
    </w:p>
    <w:p w14:paraId="49C6B96E" w14:textId="77777777" w:rsidR="00EC62A2" w:rsidRDefault="00841B91" w:rsidP="00621474">
      <w:pPr>
        <w:pStyle w:val="SingleTxtG"/>
        <w:rPr>
          <w:bCs/>
          <w:iCs/>
        </w:rPr>
      </w:pPr>
      <w:r>
        <w:rPr>
          <w:bCs/>
          <w:iCs/>
        </w:rPr>
        <w:t>7.3</w:t>
      </w:r>
      <w:r>
        <w:rPr>
          <w:bCs/>
          <w:iCs/>
        </w:rPr>
        <w:tab/>
      </w:r>
      <w:r w:rsidR="007B3BF2">
        <w:rPr>
          <w:bCs/>
          <w:iCs/>
        </w:rPr>
        <w:t>The Committee recalls that under article 24, every child has a right to special measures of protection due to her or his status as a minor.</w:t>
      </w:r>
      <w:r w:rsidR="007B3BF2">
        <w:rPr>
          <w:rStyle w:val="FootnoteReference"/>
          <w:bCs/>
          <w:iCs/>
        </w:rPr>
        <w:footnoteReference w:id="23"/>
      </w:r>
      <w:r w:rsidR="007B3BF2">
        <w:rPr>
          <w:bCs/>
          <w:iCs/>
        </w:rPr>
        <w:t xml:space="preserve"> It further recalls that the principle that in all decisions affecting a child, the child’s best interests shall be a primary consideration, forms an integral part of every child’s right to measures of protection required by article 24 </w:t>
      </w:r>
      <w:r w:rsidR="007B3BF2">
        <w:rPr>
          <w:bCs/>
          <w:iCs/>
        </w:rPr>
        <w:lastRenderedPageBreak/>
        <w:t>(1) of the Covenant.</w:t>
      </w:r>
      <w:r w:rsidR="007B3BF2">
        <w:rPr>
          <w:rStyle w:val="FootnoteReference"/>
          <w:bCs/>
          <w:iCs/>
        </w:rPr>
        <w:footnoteReference w:id="24"/>
      </w:r>
      <w:r w:rsidR="00D8338E">
        <w:rPr>
          <w:bCs/>
          <w:iCs/>
        </w:rPr>
        <w:t xml:space="preserve"> </w:t>
      </w:r>
      <w:r w:rsidR="00F14EBE" w:rsidRPr="00F14EBE">
        <w:rPr>
          <w:bCs/>
          <w:iCs/>
        </w:rPr>
        <w:t>The States parties to the Covenant have a positive obligation to protect children from physical and psychological harm</w:t>
      </w:r>
      <w:r w:rsidR="00A134D6">
        <w:rPr>
          <w:bCs/>
          <w:iCs/>
        </w:rPr>
        <w:t>,</w:t>
      </w:r>
      <w:r w:rsidR="00F14EBE" w:rsidRPr="00F14EBE">
        <w:rPr>
          <w:bCs/>
          <w:iCs/>
        </w:rPr>
        <w:t xml:space="preserve"> which may include guaranteeing minimum subsistence, in order to comply with the requirements of article 24 (1) of the Covenant. </w:t>
      </w:r>
    </w:p>
    <w:p w14:paraId="702CBA5A" w14:textId="528B073E" w:rsidR="00EE35B4" w:rsidRDefault="007B3BF2" w:rsidP="00621474">
      <w:pPr>
        <w:pStyle w:val="SingleTxtG"/>
        <w:rPr>
          <w:lang w:eastAsia="zh-CN"/>
        </w:rPr>
      </w:pPr>
      <w:r>
        <w:t>7.4</w:t>
      </w:r>
      <w:r>
        <w:tab/>
      </w:r>
      <w:r w:rsidR="0003232A">
        <w:t>As a preliminary matter, t</w:t>
      </w:r>
      <w:r w:rsidR="00C94065">
        <w:t xml:space="preserve">he Committee notes the State party’s </w:t>
      </w:r>
      <w:r w:rsidR="003507D3">
        <w:t>position</w:t>
      </w:r>
      <w:r w:rsidR="00C94065">
        <w:t xml:space="preserve"> that </w:t>
      </w:r>
      <w:r w:rsidR="00DD785A">
        <w:t xml:space="preserve">because </w:t>
      </w:r>
      <w:r w:rsidR="00C94065">
        <w:t xml:space="preserve">the child budget </w:t>
      </w:r>
      <w:r w:rsidR="00325CE8">
        <w:t>is paid to</w:t>
      </w:r>
      <w:r w:rsidR="00C94065">
        <w:t xml:space="preserve"> the parent and may be spent as the parent wishes, including on items unrelated to child care</w:t>
      </w:r>
      <w:r w:rsidR="00DD785A">
        <w:t xml:space="preserve">, Y’s rights </w:t>
      </w:r>
      <w:r w:rsidR="001B41B8">
        <w:t>under article 24 (1) are not implicated</w:t>
      </w:r>
      <w:r w:rsidR="00DD785A">
        <w:t xml:space="preserve"> by </w:t>
      </w:r>
      <w:r w:rsidR="00024E9B">
        <w:t>the denial of the child budget</w:t>
      </w:r>
      <w:r w:rsidR="00C94065">
        <w:t xml:space="preserve">. However, the Committee </w:t>
      </w:r>
      <w:r w:rsidR="00231ACC">
        <w:t>observes</w:t>
      </w:r>
      <w:r w:rsidR="00C94065">
        <w:t xml:space="preserve"> that according to the State party’s submission, the amount of the child budget is inversely related to the parents’ ability to pay the costs of raising and caring for chi</w:t>
      </w:r>
      <w:r w:rsidR="00F61913">
        <w:t>ldren</w:t>
      </w:r>
      <w:r w:rsidR="00231ACC">
        <w:t xml:space="preserve">, and </w:t>
      </w:r>
      <w:proofErr w:type="gramStart"/>
      <w:r w:rsidR="00231ACC">
        <w:t>is also</w:t>
      </w:r>
      <w:proofErr w:type="gramEnd"/>
      <w:r w:rsidR="00231ACC">
        <w:t xml:space="preserve"> dependent on the number and age of children per household</w:t>
      </w:r>
      <w:r w:rsidR="00F61913">
        <w:t xml:space="preserve">. The Committee also </w:t>
      </w:r>
      <w:r w:rsidR="00D9486A">
        <w:t xml:space="preserve">notes </w:t>
      </w:r>
      <w:r w:rsidR="00F61913">
        <w:t xml:space="preserve">the information provided by the State party in its fourth periodic report (2013) to the Committee on the Rights of the Child, stating that the </w:t>
      </w:r>
      <w:proofErr w:type="spellStart"/>
      <w:r w:rsidR="00F61913" w:rsidRPr="00F61913">
        <w:rPr>
          <w:i/>
        </w:rPr>
        <w:t>kindgebonden</w:t>
      </w:r>
      <w:proofErr w:type="spellEnd"/>
      <w:r w:rsidR="00F61913" w:rsidRPr="00F61913">
        <w:rPr>
          <w:i/>
        </w:rPr>
        <w:t xml:space="preserve"> budget</w:t>
      </w:r>
      <w:r w:rsidR="00F61913">
        <w:t xml:space="preserve"> is “a</w:t>
      </w:r>
      <w:r w:rsidR="00F61913" w:rsidRPr="00F61913">
        <w:t xml:space="preserve"> contribution towards the maintenance</w:t>
      </w:r>
      <w:r w:rsidR="006D35D1">
        <w:t xml:space="preserve"> costs of a child aged u</w:t>
      </w:r>
      <w:r w:rsidR="00231ACC">
        <w:t>nder 18</w:t>
      </w:r>
      <w:r w:rsidR="006D35D1">
        <w:t>.</w:t>
      </w:r>
      <w:r w:rsidR="00231ACC">
        <w:t>”</w:t>
      </w:r>
      <w:r w:rsidR="000F127D">
        <w:rPr>
          <w:rStyle w:val="FootnoteReference"/>
        </w:rPr>
        <w:footnoteReference w:id="25"/>
      </w:r>
      <w:r w:rsidR="00F61913">
        <w:t xml:space="preserve"> </w:t>
      </w:r>
      <w:r w:rsidR="009D53FB">
        <w:t>T</w:t>
      </w:r>
      <w:r w:rsidR="00E26BCA">
        <w:t xml:space="preserve">he Committee considers that while the parent is the direct </w:t>
      </w:r>
      <w:r w:rsidR="004A6499">
        <w:t>recipient</w:t>
      </w:r>
      <w:r w:rsidR="00E26BCA">
        <w:t xml:space="preserve"> of the child budget, </w:t>
      </w:r>
      <w:r w:rsidR="004A6499">
        <w:t xml:space="preserve">both the parent and child </w:t>
      </w:r>
      <w:r w:rsidR="00C51A88">
        <w:t>benefit from it</w:t>
      </w:r>
      <w:r w:rsidR="00844868">
        <w:t xml:space="preserve">. Noting the State party’s </w:t>
      </w:r>
      <w:r w:rsidR="00000DF8">
        <w:t>position</w:t>
      </w:r>
      <w:r w:rsidR="00844868">
        <w:t xml:space="preserve"> that </w:t>
      </w:r>
      <w:r w:rsidR="009B4F45">
        <w:t xml:space="preserve">the Committee’s general comment No. </w:t>
      </w:r>
      <w:r w:rsidR="00000DF8">
        <w:t>17 (1989)</w:t>
      </w:r>
      <w:r w:rsidR="009B4F45">
        <w:rPr>
          <w:rStyle w:val="FootnoteReference"/>
        </w:rPr>
        <w:footnoteReference w:id="26"/>
      </w:r>
      <w:r w:rsidR="009B4F45">
        <w:t xml:space="preserve"> </w:t>
      </w:r>
      <w:r w:rsidR="00000DF8">
        <w:t xml:space="preserve">limits </w:t>
      </w:r>
      <w:r w:rsidR="00844868">
        <w:t xml:space="preserve">article 24 </w:t>
      </w:r>
      <w:r w:rsidR="00000DF8">
        <w:t>pr</w:t>
      </w:r>
      <w:r w:rsidR="00844868">
        <w:t xml:space="preserve">otections </w:t>
      </w:r>
      <w:r w:rsidR="00000DF8">
        <w:t xml:space="preserve">to those relating to the </w:t>
      </w:r>
      <w:r w:rsidR="00844868">
        <w:t>physical or psychological well-being of children, t</w:t>
      </w:r>
      <w:r w:rsidR="00844868" w:rsidRPr="00844868">
        <w:t xml:space="preserve">he Committee </w:t>
      </w:r>
      <w:r w:rsidR="009B4F45">
        <w:t xml:space="preserve">observes that </w:t>
      </w:r>
      <w:r w:rsidR="00EA2CC4">
        <w:t xml:space="preserve">the absence of social protection for children may in certain circumstances </w:t>
      </w:r>
      <w:r w:rsidR="00000DF8">
        <w:t>adversely affect</w:t>
      </w:r>
      <w:r w:rsidR="00EA2CC4">
        <w:t xml:space="preserve"> </w:t>
      </w:r>
      <w:r w:rsidR="00000DF8">
        <w:t>their</w:t>
      </w:r>
      <w:r w:rsidR="00EA2CC4">
        <w:t xml:space="preserve"> physical and psychological well-being</w:t>
      </w:r>
      <w:r w:rsidR="00511766">
        <w:t>.</w:t>
      </w:r>
      <w:r w:rsidR="00E60B89">
        <w:t xml:space="preserve"> </w:t>
      </w:r>
    </w:p>
    <w:p w14:paraId="0CF1DC79" w14:textId="3E5FE395" w:rsidR="00695FC3" w:rsidRDefault="007B3BF2" w:rsidP="00621474">
      <w:pPr>
        <w:pStyle w:val="SingleTxtG"/>
      </w:pPr>
      <w:r>
        <w:t>7.5</w:t>
      </w:r>
      <w:r>
        <w:tab/>
      </w:r>
      <w:r w:rsidR="005E296B">
        <w:t>T</w:t>
      </w:r>
      <w:r w:rsidR="00507399">
        <w:rPr>
          <w:bCs/>
          <w:iCs/>
        </w:rPr>
        <w:t xml:space="preserve">he Committee notes the State party’s position that </w:t>
      </w:r>
      <w:r w:rsidR="00C24BD0">
        <w:rPr>
          <w:bCs/>
          <w:iCs/>
        </w:rPr>
        <w:t xml:space="preserve">under Dutch law, </w:t>
      </w:r>
      <w:r w:rsidR="00507399">
        <w:rPr>
          <w:bCs/>
          <w:iCs/>
        </w:rPr>
        <w:t>non-resident aliens are not entitled to the child budget. However, the Committee notes that a</w:t>
      </w:r>
      <w:r w:rsidR="002614DD">
        <w:rPr>
          <w:bCs/>
          <w:iCs/>
        </w:rPr>
        <w:t xml:space="preserve">ccording to </w:t>
      </w:r>
      <w:r w:rsidR="003272D8">
        <w:t>t</w:t>
      </w:r>
      <w:r w:rsidR="002614DD">
        <w:t xml:space="preserve">he </w:t>
      </w:r>
      <w:r w:rsidR="00176517">
        <w:t xml:space="preserve">decisions issued by the </w:t>
      </w:r>
      <w:r w:rsidR="002614DD">
        <w:t xml:space="preserve">domestic authorities, </w:t>
      </w:r>
      <w:r w:rsidR="003272D8">
        <w:t xml:space="preserve">the child budget </w:t>
      </w:r>
      <w:proofErr w:type="gramStart"/>
      <w:r w:rsidR="003272D8">
        <w:t xml:space="preserve">may </w:t>
      </w:r>
      <w:r w:rsidR="00176517">
        <w:t xml:space="preserve">in special circumstances </w:t>
      </w:r>
      <w:r w:rsidR="003272D8">
        <w:t>be granted</w:t>
      </w:r>
      <w:proofErr w:type="gramEnd"/>
      <w:r w:rsidR="003272D8">
        <w:t xml:space="preserve"> to individuals without a residence permit. </w:t>
      </w:r>
      <w:r w:rsidR="00CE10AA">
        <w:t>Nevertheless</w:t>
      </w:r>
      <w:r w:rsidR="003272D8">
        <w:t xml:space="preserve">, </w:t>
      </w:r>
      <w:r w:rsidR="008E622B">
        <w:t xml:space="preserve">in the author’s case, </w:t>
      </w:r>
      <w:r w:rsidR="003272D8">
        <w:t xml:space="preserve">the domestic authorities </w:t>
      </w:r>
      <w:r w:rsidR="00CE10AA">
        <w:t xml:space="preserve">considered that </w:t>
      </w:r>
      <w:r w:rsidR="008E622B">
        <w:t>she</w:t>
      </w:r>
      <w:r w:rsidR="00CE10AA">
        <w:t xml:space="preserve"> had not demonstra</w:t>
      </w:r>
      <w:r w:rsidR="00FF7E9E">
        <w:t>ted suc</w:t>
      </w:r>
      <w:r w:rsidR="002614DD">
        <w:t>h special circumstances,</w:t>
      </w:r>
      <w:r w:rsidR="00FF7E9E">
        <w:t xml:space="preserve"> </w:t>
      </w:r>
      <w:r w:rsidR="00CE10AA">
        <w:t>noting in particular that s</w:t>
      </w:r>
      <w:r w:rsidR="00695FC3">
        <w:t xml:space="preserve">he had not substantiated her </w:t>
      </w:r>
      <w:r w:rsidR="00FC238C">
        <w:t xml:space="preserve">allegations that she was stateless and was unable to leave the Netherlands; </w:t>
      </w:r>
      <w:r w:rsidR="00CE10AA">
        <w:t>and</w:t>
      </w:r>
      <w:r w:rsidR="00695FC3">
        <w:t xml:space="preserve"> had not argued or shown that the failure to grant the child budget would lead to a humanitarian emergency situation</w:t>
      </w:r>
      <w:r w:rsidR="00CE10AA">
        <w:t xml:space="preserve">. The domestic authorities also based their decision on the notion </w:t>
      </w:r>
      <w:r w:rsidR="00CE10AA" w:rsidRPr="00DB6770">
        <w:t xml:space="preserve">that </w:t>
      </w:r>
      <w:r w:rsidR="00695FC3" w:rsidRPr="00DB6770">
        <w:t xml:space="preserve">the child budget </w:t>
      </w:r>
      <w:proofErr w:type="gramStart"/>
      <w:r w:rsidR="00695FC3" w:rsidRPr="00DB6770">
        <w:t>was not intended</w:t>
      </w:r>
      <w:proofErr w:type="gramEnd"/>
      <w:r w:rsidR="00695FC3" w:rsidRPr="00DB6770">
        <w:t xml:space="preserve"> to guarantee a subsistence level of income to the beneficiaries; and the </w:t>
      </w:r>
      <w:r w:rsidR="00CE10AA" w:rsidRPr="00DB6770">
        <w:t xml:space="preserve">principle that the </w:t>
      </w:r>
      <w:r w:rsidR="00695FC3" w:rsidRPr="00DB6770">
        <w:t>beneficiary of the budget is the parent, not the child.</w:t>
      </w:r>
      <w:r w:rsidR="00695FC3">
        <w:t xml:space="preserve"> </w:t>
      </w:r>
    </w:p>
    <w:p w14:paraId="3BC6A359" w14:textId="527BB943" w:rsidR="000D0F16" w:rsidRDefault="001C22E4" w:rsidP="002460A0">
      <w:pPr>
        <w:pStyle w:val="SingleTxtG"/>
      </w:pPr>
      <w:r>
        <w:t>7</w:t>
      </w:r>
      <w:r w:rsidR="005E296B">
        <w:t>.</w:t>
      </w:r>
      <w:r w:rsidR="00344ECD">
        <w:t>6</w:t>
      </w:r>
      <w:r w:rsidR="0026204E">
        <w:tab/>
      </w:r>
      <w:r w:rsidR="0001317F">
        <w:t xml:space="preserve">In </w:t>
      </w:r>
      <w:r w:rsidR="00B82FFC">
        <w:t>evaluating</w:t>
      </w:r>
      <w:r w:rsidR="002614DD">
        <w:t xml:space="preserve"> </w:t>
      </w:r>
      <w:r w:rsidR="005E088F">
        <w:t>this reasoning through the lens of article 24 (1) of the Covenant</w:t>
      </w:r>
      <w:r w:rsidR="00507399">
        <w:t xml:space="preserve">, </w:t>
      </w:r>
      <w:r w:rsidR="00B7789C">
        <w:t xml:space="preserve">the Committee observes that the State party has not indicated the kinds of special circumstances </w:t>
      </w:r>
      <w:r w:rsidR="00A3327B">
        <w:t xml:space="preserve">under which the child budget may be granted to </w:t>
      </w:r>
      <w:r w:rsidR="00BB4267">
        <w:t>individuals</w:t>
      </w:r>
      <w:r w:rsidR="00A3327B">
        <w:t xml:space="preserve"> without </w:t>
      </w:r>
      <w:r w:rsidR="00B7789C">
        <w:t xml:space="preserve">a residence permit. </w:t>
      </w:r>
      <w:r w:rsidR="00196D8D">
        <w:t>It is not clear whether any criteria or guidelines exist, in the Child Budget Act</w:t>
      </w:r>
      <w:r w:rsidR="00647B97">
        <w:t xml:space="preserve"> of 2007</w:t>
      </w:r>
      <w:r w:rsidR="00196D8D">
        <w:t xml:space="preserve"> or elsewhere, to ensure that </w:t>
      </w:r>
      <w:r w:rsidR="00C109AB">
        <w:t xml:space="preserve">the existence of such special </w:t>
      </w:r>
      <w:r w:rsidR="00196D8D">
        <w:t xml:space="preserve">circumstances </w:t>
      </w:r>
      <w:r w:rsidR="00C109AB">
        <w:t>is determined</w:t>
      </w:r>
      <w:r w:rsidR="00B04369">
        <w:t xml:space="preserve"> in such a manner as to ensure that the child’s best interests form a primary consideration</w:t>
      </w:r>
      <w:r w:rsidR="00196D8D">
        <w:t xml:space="preserve">. </w:t>
      </w:r>
      <w:r w:rsidR="00B7789C">
        <w:t>W</w:t>
      </w:r>
      <w:r w:rsidR="00960A31">
        <w:t>hile the State party’s authorities maintained that the author had not substantiated her allegation</w:t>
      </w:r>
      <w:r w:rsidR="00493016">
        <w:t>s</w:t>
      </w:r>
      <w:r w:rsidR="00960A31">
        <w:t xml:space="preserve"> of statelessness</w:t>
      </w:r>
      <w:r w:rsidR="00CE10AA">
        <w:t xml:space="preserve"> and inability to leave the Netherlands</w:t>
      </w:r>
      <w:r w:rsidR="00960A31">
        <w:t xml:space="preserve">, </w:t>
      </w:r>
      <w:r w:rsidR="0001317F">
        <w:t xml:space="preserve">the </w:t>
      </w:r>
      <w:r w:rsidR="00B7789C">
        <w:t xml:space="preserve">Committee notes </w:t>
      </w:r>
      <w:r w:rsidR="00BA4EFB">
        <w:t>that the author claims to have informed the</w:t>
      </w:r>
      <w:r w:rsidR="005A6761">
        <w:t xml:space="preserve"> </w:t>
      </w:r>
      <w:r w:rsidR="00EC42B2">
        <w:t xml:space="preserve">State party’s </w:t>
      </w:r>
      <w:r w:rsidR="00964AD6">
        <w:t xml:space="preserve">authorities of her statelessness in 2009. </w:t>
      </w:r>
      <w:r w:rsidR="00EC42B2">
        <w:t>In this regard, the Committee</w:t>
      </w:r>
      <w:r w:rsidR="00964AD6">
        <w:t xml:space="preserve"> notes the certificates </w:t>
      </w:r>
      <w:r w:rsidR="006877B3">
        <w:t>dated</w:t>
      </w:r>
      <w:r w:rsidR="0001317F">
        <w:t xml:space="preserve"> </w:t>
      </w:r>
      <w:r w:rsidR="006877B3">
        <w:t xml:space="preserve">14 April 2009, 25 May 2011, 14 March 2012 and </w:t>
      </w:r>
      <w:r w:rsidR="0001317F">
        <w:t>12 July 2013 from</w:t>
      </w:r>
      <w:r w:rsidR="00EC1C46">
        <w:t xml:space="preserve"> the Embassy of Uzbek</w:t>
      </w:r>
      <w:r w:rsidR="00490D77">
        <w:t>istan in Be</w:t>
      </w:r>
      <w:r w:rsidR="00964AD6">
        <w:t>lgium, stating</w:t>
      </w:r>
      <w:r w:rsidR="00490D77">
        <w:t xml:space="preserve"> that the author </w:t>
      </w:r>
      <w:r w:rsidR="00EC42B2">
        <w:t xml:space="preserve">had not lived in Uzbekistan since 2000, had lost her Uzbek nationality, </w:t>
      </w:r>
      <w:r w:rsidR="00960A31">
        <w:t xml:space="preserve">and </w:t>
      </w:r>
      <w:proofErr w:type="gramStart"/>
      <w:r w:rsidR="00960A31">
        <w:t>could not be granted</w:t>
      </w:r>
      <w:proofErr w:type="gramEnd"/>
      <w:r w:rsidR="00960A31">
        <w:t xml:space="preserve"> a passport or a return visa. </w:t>
      </w:r>
      <w:proofErr w:type="gramStart"/>
      <w:r w:rsidR="007C689E">
        <w:t xml:space="preserve">The Committee </w:t>
      </w:r>
      <w:r w:rsidR="006026B0">
        <w:t xml:space="preserve">notes that the State party does not contest </w:t>
      </w:r>
      <w:r w:rsidR="0042792C">
        <w:t>having received</w:t>
      </w:r>
      <w:r w:rsidR="006026B0">
        <w:t xml:space="preserve"> these certificates and </w:t>
      </w:r>
      <w:r w:rsidR="00964AD6">
        <w:t>observes that the</w:t>
      </w:r>
      <w:r w:rsidR="006877B3">
        <w:t xml:space="preserve"> </w:t>
      </w:r>
      <w:r w:rsidR="00964AD6">
        <w:t>most recent of these certificates</w:t>
      </w:r>
      <w:r w:rsidR="005A6761">
        <w:t xml:space="preserve"> </w:t>
      </w:r>
      <w:r w:rsidR="007C689E">
        <w:t xml:space="preserve">was </w:t>
      </w:r>
      <w:r w:rsidR="00A32CA5">
        <w:t>acknowledged</w:t>
      </w:r>
      <w:r w:rsidR="007C689E">
        <w:t xml:space="preserve"> in a letter </w:t>
      </w:r>
      <w:r w:rsidR="00AC00DB">
        <w:t xml:space="preserve">dated 24 July 2013 </w:t>
      </w:r>
      <w:r w:rsidR="003C5D70">
        <w:t>by</w:t>
      </w:r>
      <w:r w:rsidR="0001317F">
        <w:t xml:space="preserve"> the</w:t>
      </w:r>
      <w:r w:rsidR="007C689E">
        <w:t xml:space="preserve"> State party’s Repa</w:t>
      </w:r>
      <w:r w:rsidR="004D3D7E">
        <w:t xml:space="preserve">triation and Departure Services, which issued a memorandum on 13 June 2014 </w:t>
      </w:r>
      <w:r w:rsidR="0062587B">
        <w:t>acknowledg</w:t>
      </w:r>
      <w:r w:rsidR="00E66A7B">
        <w:t>ing</w:t>
      </w:r>
      <w:r w:rsidR="004D3D7E">
        <w:t xml:space="preserve"> that the author and her daughter were unable to leave the Netherlands through no fault of their own.</w:t>
      </w:r>
      <w:proofErr w:type="gramEnd"/>
      <w:r w:rsidR="004D3D7E">
        <w:t xml:space="preserve"> </w:t>
      </w:r>
      <w:r w:rsidR="006877B3" w:rsidRPr="005A6761">
        <w:t>The Committee notes that the author applie</w:t>
      </w:r>
      <w:r w:rsidR="005A6761" w:rsidRPr="005A6761">
        <w:t xml:space="preserve">d for the child budget in 2011 </w:t>
      </w:r>
      <w:r w:rsidR="006877B3" w:rsidRPr="005A6761">
        <w:t xml:space="preserve">and that a final decision on the child budget matter </w:t>
      </w:r>
      <w:proofErr w:type="gramStart"/>
      <w:r w:rsidR="006877B3" w:rsidRPr="005A6761">
        <w:t>was reached</w:t>
      </w:r>
      <w:proofErr w:type="gramEnd"/>
      <w:r w:rsidR="006877B3" w:rsidRPr="005A6761">
        <w:t xml:space="preserve"> in 2014</w:t>
      </w:r>
      <w:r w:rsidR="00CF0502" w:rsidRPr="005A6761">
        <w:t>. T</w:t>
      </w:r>
      <w:r w:rsidR="00960A31" w:rsidRPr="005A6761">
        <w:t>he</w:t>
      </w:r>
      <w:r w:rsidR="00960A31">
        <w:t xml:space="preserve"> State party has not indicated </w:t>
      </w:r>
      <w:r w:rsidR="00D51081">
        <w:t>the</w:t>
      </w:r>
      <w:r w:rsidR="00960A31">
        <w:t xml:space="preserve"> steps the author could have taken and failed to take in order to substantiate her statelessness</w:t>
      </w:r>
      <w:r w:rsidR="00541D16">
        <w:t xml:space="preserve"> and inability to leave the Netherlands</w:t>
      </w:r>
      <w:r w:rsidR="00CF0502">
        <w:t xml:space="preserve"> during </w:t>
      </w:r>
      <w:r w:rsidR="002F23CA">
        <w:t>th</w:t>
      </w:r>
      <w:r w:rsidR="00493016">
        <w:t>e relevant</w:t>
      </w:r>
      <w:r w:rsidR="002F23CA">
        <w:t xml:space="preserve"> time</w:t>
      </w:r>
      <w:r w:rsidR="00960A31">
        <w:t xml:space="preserve">. In addition, the Committee </w:t>
      </w:r>
      <w:r w:rsidR="001A04EE">
        <w:t>observes</w:t>
      </w:r>
      <w:r w:rsidR="00960A31">
        <w:t xml:space="preserve"> that the State party does not contest the author’s assertions that she and Y had no choice in the decisions </w:t>
      </w:r>
      <w:r w:rsidR="00EA3597">
        <w:t xml:space="preserve">that led to their statelessness. In this regard, the Committee </w:t>
      </w:r>
      <w:r w:rsidR="00D434FC">
        <w:t>notes</w:t>
      </w:r>
      <w:r w:rsidR="00EA3597">
        <w:t xml:space="preserve"> </w:t>
      </w:r>
      <w:r w:rsidR="00777857">
        <w:t xml:space="preserve">the author’s statements that she </w:t>
      </w:r>
      <w:r w:rsidR="00960A31">
        <w:t xml:space="preserve">fled Uzbekistan with her family at the age of 11 and became </w:t>
      </w:r>
      <w:r w:rsidR="00960A31">
        <w:lastRenderedPageBreak/>
        <w:t xml:space="preserve">stateless at the age of 17, and </w:t>
      </w:r>
      <w:r w:rsidR="00EA3597">
        <w:t xml:space="preserve">that </w:t>
      </w:r>
      <w:r w:rsidR="00960A31">
        <w:t xml:space="preserve">Y was born stateless in the </w:t>
      </w:r>
      <w:r w:rsidR="00777857">
        <w:t>Netherlands</w:t>
      </w:r>
      <w:r w:rsidR="00960A31">
        <w:t xml:space="preserve">. </w:t>
      </w:r>
      <w:r w:rsidR="00355AD9">
        <w:t xml:space="preserve">The Committee also notes that </w:t>
      </w:r>
      <w:r w:rsidR="00B82FFC">
        <w:t xml:space="preserve">although the author’s first two applications for a residence permit </w:t>
      </w:r>
      <w:proofErr w:type="gramStart"/>
      <w:r w:rsidR="00B82FFC">
        <w:t>on the basis of</w:t>
      </w:r>
      <w:proofErr w:type="gramEnd"/>
      <w:r w:rsidR="00B82FFC">
        <w:t xml:space="preserve"> no-fault statelessness were denied in 2009 and 2012, she was </w:t>
      </w:r>
      <w:r w:rsidR="008578A1">
        <w:t>eventually</w:t>
      </w:r>
      <w:r w:rsidR="00355AD9">
        <w:t xml:space="preserve"> granted </w:t>
      </w:r>
      <w:r w:rsidR="00B82FFC">
        <w:t xml:space="preserve">such a permit in 2014, and it has since been renewed. Thus, the State party’s </w:t>
      </w:r>
      <w:r w:rsidR="002460A0">
        <w:t xml:space="preserve">own </w:t>
      </w:r>
      <w:r w:rsidR="00B82FFC">
        <w:t xml:space="preserve">authorities have </w:t>
      </w:r>
      <w:r w:rsidR="00B869D1">
        <w:t>determined</w:t>
      </w:r>
      <w:r w:rsidR="00B82FFC">
        <w:t xml:space="preserve"> that </w:t>
      </w:r>
      <w:r w:rsidR="00DD6472">
        <w:t>the author</w:t>
      </w:r>
      <w:r w:rsidR="00B82FFC">
        <w:t xml:space="preserve"> is statel</w:t>
      </w:r>
      <w:r w:rsidR="00DD6472">
        <w:t>ess through no fault of her own</w:t>
      </w:r>
      <w:r w:rsidR="002460A0">
        <w:t>.</w:t>
      </w:r>
    </w:p>
    <w:p w14:paraId="1533A608" w14:textId="34008E36" w:rsidR="0040666F" w:rsidRDefault="000D0F16" w:rsidP="004107E1">
      <w:pPr>
        <w:pStyle w:val="SingleTxtG"/>
      </w:pPr>
      <w:r>
        <w:t>7.</w:t>
      </w:r>
      <w:r w:rsidR="0086442D">
        <w:t>7</w:t>
      </w:r>
      <w:r>
        <w:tab/>
      </w:r>
      <w:r w:rsidR="00191267">
        <w:t>Regarding</w:t>
      </w:r>
      <w:r w:rsidR="007951FC">
        <w:t xml:space="preserve"> the argument of the domestic authorities that the </w:t>
      </w:r>
      <w:r w:rsidR="0079221B">
        <w:t xml:space="preserve">failure to pay the child budget would not lead to an emergency humanitarian situation, </w:t>
      </w:r>
      <w:r w:rsidR="007951FC">
        <w:t xml:space="preserve">the Committee notes </w:t>
      </w:r>
      <w:r w:rsidR="00AD0F27">
        <w:t>the State party’s observation</w:t>
      </w:r>
      <w:r w:rsidR="002D3243">
        <w:t xml:space="preserve"> that </w:t>
      </w:r>
      <w:r w:rsidR="007951FC">
        <w:t>when</w:t>
      </w:r>
      <w:r w:rsidR="002D3243">
        <w:t xml:space="preserve"> the author applied for the child budget in 2011</w:t>
      </w:r>
      <w:r w:rsidR="000C7C97">
        <w:t xml:space="preserve">, </w:t>
      </w:r>
      <w:r w:rsidR="00AD0F27">
        <w:t>she had found a place to live</w:t>
      </w:r>
      <w:r w:rsidR="000C7C97">
        <w:t xml:space="preserve">. However, the Committee </w:t>
      </w:r>
      <w:r w:rsidR="00493016">
        <w:t xml:space="preserve">also </w:t>
      </w:r>
      <w:r w:rsidR="00D16E30">
        <w:t xml:space="preserve">notes the </w:t>
      </w:r>
      <w:r w:rsidR="00FC4A11">
        <w:t>statement</w:t>
      </w:r>
      <w:r w:rsidR="00D16E30">
        <w:t xml:space="preserve"> provided by the author in 2011 from an individual </w:t>
      </w:r>
      <w:r w:rsidR="00FC4A11">
        <w:t>claiming</w:t>
      </w:r>
      <w:r w:rsidR="00D16E30">
        <w:t xml:space="preserve"> that the author was reliant on his financial support, which he was unable to continue providing. The Committee </w:t>
      </w:r>
      <w:r w:rsidR="00493016">
        <w:t>observes</w:t>
      </w:r>
      <w:r w:rsidR="00D16E30">
        <w:t xml:space="preserve"> that </w:t>
      </w:r>
      <w:r w:rsidR="000C7C97">
        <w:t>t</w:t>
      </w:r>
      <w:r w:rsidR="009F7AED">
        <w:t xml:space="preserve">he State party has not contested the author’s </w:t>
      </w:r>
      <w:r w:rsidR="00F627EC">
        <w:t>claims</w:t>
      </w:r>
      <w:r w:rsidR="0079221B">
        <w:t xml:space="preserve"> </w:t>
      </w:r>
      <w:r w:rsidR="005F3773">
        <w:t xml:space="preserve">that </w:t>
      </w:r>
      <w:r w:rsidR="001942AB">
        <w:t xml:space="preserve">during the relevant time, she </w:t>
      </w:r>
      <w:r w:rsidR="007011D2">
        <w:t>had to</w:t>
      </w:r>
      <w:r w:rsidR="0062587B">
        <w:t xml:space="preserve"> rely on charity </w:t>
      </w:r>
      <w:r w:rsidR="006B56C7">
        <w:t>to meet basic needs</w:t>
      </w:r>
      <w:r w:rsidR="00DC61B8">
        <w:t xml:space="preserve">. </w:t>
      </w:r>
      <w:r>
        <w:t>With respect to</w:t>
      </w:r>
      <w:r w:rsidR="00D9432E">
        <w:t xml:space="preserve"> the State party’s position that the author had the primary responsibility for providing for Y, </w:t>
      </w:r>
      <w:r w:rsidR="00DC61B8">
        <w:t xml:space="preserve">the Committee </w:t>
      </w:r>
      <w:r w:rsidR="00D9432E">
        <w:t xml:space="preserve">notes that the author </w:t>
      </w:r>
      <w:r w:rsidR="00DC61B8">
        <w:t xml:space="preserve">had no access to the </w:t>
      </w:r>
      <w:r w:rsidR="00340532">
        <w:t xml:space="preserve">formal </w:t>
      </w:r>
      <w:r w:rsidR="00DC61B8">
        <w:t>labour market</w:t>
      </w:r>
      <w:r w:rsidR="00D16E30">
        <w:t xml:space="preserve"> during the relevant time</w:t>
      </w:r>
      <w:r w:rsidR="00D9432E">
        <w:t xml:space="preserve"> due to her lack of a residence </w:t>
      </w:r>
      <w:r w:rsidR="00745DCD">
        <w:t xml:space="preserve">and work </w:t>
      </w:r>
      <w:r w:rsidR="00D9432E">
        <w:t xml:space="preserve">permit. </w:t>
      </w:r>
      <w:r w:rsidR="00745DCD">
        <w:t>The Committee notes</w:t>
      </w:r>
      <w:r w:rsidR="00D9432E">
        <w:t xml:space="preserve"> the State party’s position that the child budget </w:t>
      </w:r>
      <w:proofErr w:type="gramStart"/>
      <w:r w:rsidR="00D9432E">
        <w:t>was not intended</w:t>
      </w:r>
      <w:proofErr w:type="gramEnd"/>
      <w:r w:rsidR="00D9432E">
        <w:t xml:space="preserve"> to guarantee a subsistence level of income, </w:t>
      </w:r>
      <w:r w:rsidR="00745DCD">
        <w:t xml:space="preserve">but also </w:t>
      </w:r>
      <w:r w:rsidR="00D9432E">
        <w:t xml:space="preserve">notes that the </w:t>
      </w:r>
      <w:r w:rsidR="00652752">
        <w:t xml:space="preserve">author did not receive </w:t>
      </w:r>
      <w:r w:rsidR="00611521">
        <w:t xml:space="preserve">any </w:t>
      </w:r>
      <w:r w:rsidR="00D9432E">
        <w:t xml:space="preserve">other types of financial assistance from the State </w:t>
      </w:r>
      <w:r w:rsidR="00535FED">
        <w:t xml:space="preserve">party </w:t>
      </w:r>
      <w:r w:rsidR="00D434FC">
        <w:t>during the relevant time</w:t>
      </w:r>
      <w:r w:rsidR="00745DCD">
        <w:t xml:space="preserve"> that would provide for </w:t>
      </w:r>
      <w:r w:rsidR="00611521">
        <w:t>Y’s subsistence</w:t>
      </w:r>
      <w:r w:rsidR="00D434FC">
        <w:t>.</w:t>
      </w:r>
      <w:r w:rsidR="00D9432E">
        <w:t xml:space="preserve"> </w:t>
      </w:r>
      <w:r w:rsidR="006F407E">
        <w:t>Wi</w:t>
      </w:r>
      <w:r w:rsidR="00D80714">
        <w:t xml:space="preserve">th respect to the argument </w:t>
      </w:r>
      <w:r w:rsidR="007456CB">
        <w:t xml:space="preserve">of the State party’s authorities </w:t>
      </w:r>
      <w:r w:rsidR="00D80714">
        <w:t xml:space="preserve">that the beneficiary </w:t>
      </w:r>
      <w:r w:rsidR="007456CB">
        <w:t xml:space="preserve">of the child budget </w:t>
      </w:r>
      <w:r w:rsidR="00D80714">
        <w:t>is the parent and not the child, the Committee refers to its conclusions above in paragraph 7.</w:t>
      </w:r>
      <w:r w:rsidR="006F3789">
        <w:t>3</w:t>
      </w:r>
      <w:r w:rsidR="00D80714">
        <w:t xml:space="preserve">. </w:t>
      </w:r>
    </w:p>
    <w:p w14:paraId="66E189C0" w14:textId="715F848F" w:rsidR="00695FC3" w:rsidRDefault="0040666F" w:rsidP="004107E1">
      <w:pPr>
        <w:pStyle w:val="SingleTxtG"/>
      </w:pPr>
      <w:proofErr w:type="gramStart"/>
      <w:r>
        <w:t>7.</w:t>
      </w:r>
      <w:r w:rsidR="0086442D">
        <w:t>8</w:t>
      </w:r>
      <w:r>
        <w:tab/>
      </w:r>
      <w:r w:rsidR="00736ECC">
        <w:t xml:space="preserve">In light of </w:t>
      </w:r>
      <w:r w:rsidR="006D0E06">
        <w:t xml:space="preserve">the </w:t>
      </w:r>
      <w:r w:rsidR="000A3B73">
        <w:t xml:space="preserve">totality of the </w:t>
      </w:r>
      <w:r w:rsidR="00FA7474">
        <w:t xml:space="preserve">aforementioned </w:t>
      </w:r>
      <w:r w:rsidR="00736ECC">
        <w:t>circ</w:t>
      </w:r>
      <w:r w:rsidR="00CF5FC6">
        <w:t xml:space="preserve">umstances, </w:t>
      </w:r>
      <w:r w:rsidR="00752BAD">
        <w:t xml:space="preserve">including </w:t>
      </w:r>
      <w:r w:rsidR="00A75F30">
        <w:t xml:space="preserve">the vulnerability of the author and Y, both of whom are stateless through no fault of their own, </w:t>
      </w:r>
      <w:r w:rsidR="00736ECC">
        <w:t xml:space="preserve">the Committee considers </w:t>
      </w:r>
      <w:r w:rsidR="00A75F30">
        <w:t>t</w:t>
      </w:r>
      <w:r w:rsidR="00736ECC">
        <w:t xml:space="preserve">hat the State party has </w:t>
      </w:r>
      <w:r w:rsidR="007D471F">
        <w:t xml:space="preserve">not </w:t>
      </w:r>
      <w:r w:rsidR="00F47CB4">
        <w:t xml:space="preserve">specified </w:t>
      </w:r>
      <w:r w:rsidR="009F2168">
        <w:t xml:space="preserve">the </w:t>
      </w:r>
      <w:r w:rsidR="004365BC">
        <w:t xml:space="preserve">kinds of </w:t>
      </w:r>
      <w:r w:rsidR="009F2168">
        <w:t xml:space="preserve">special circumstances that allow </w:t>
      </w:r>
      <w:r w:rsidR="00B72583">
        <w:t>individuals without residence permit t</w:t>
      </w:r>
      <w:r w:rsidR="00C118F3">
        <w:t>o receive</w:t>
      </w:r>
      <w:r w:rsidR="009F2168">
        <w:t xml:space="preserve"> the child budget</w:t>
      </w:r>
      <w:r w:rsidR="009802C2">
        <w:t xml:space="preserve">, </w:t>
      </w:r>
      <w:r w:rsidR="0008135F">
        <w:t>taking into account</w:t>
      </w:r>
      <w:r w:rsidR="009802C2">
        <w:t xml:space="preserve"> that the author’s </w:t>
      </w:r>
      <w:r w:rsidR="00C95125">
        <w:t xml:space="preserve">other </w:t>
      </w:r>
      <w:r w:rsidR="009802C2">
        <w:t>applications for various types of subsistence-related benefits were denied</w:t>
      </w:r>
      <w:r w:rsidR="009F2168">
        <w:t>.</w:t>
      </w:r>
      <w:proofErr w:type="gramEnd"/>
      <w:r w:rsidR="00344ECD">
        <w:t xml:space="preserve"> </w:t>
      </w:r>
      <w:r w:rsidR="004876C7" w:rsidRPr="007C7CFC">
        <w:t xml:space="preserve">The Committee further considers that </w:t>
      </w:r>
      <w:r w:rsidR="0082688A">
        <w:t xml:space="preserve">under </w:t>
      </w:r>
      <w:r w:rsidR="004876C7" w:rsidRPr="007C7CFC">
        <w:t>article 24</w:t>
      </w:r>
      <w:r w:rsidR="00B9675E">
        <w:t xml:space="preserve"> </w:t>
      </w:r>
      <w:r w:rsidR="004876C7" w:rsidRPr="007C7CFC">
        <w:t>(1) o</w:t>
      </w:r>
      <w:r w:rsidR="0082688A" w:rsidRPr="0082688A">
        <w:t>f the Covenan</w:t>
      </w:r>
      <w:r w:rsidR="0082688A">
        <w:t>t</w:t>
      </w:r>
      <w:r w:rsidR="0082688A" w:rsidRPr="0082688A">
        <w:t>, t</w:t>
      </w:r>
      <w:r w:rsidR="004876C7" w:rsidRPr="007C7CFC">
        <w:t>he State party had a positive obligation to ensure that Y’s physical and psychological well-being was protected, including through guarantee of subsistence under circumstances where her mother had no access to work or other income</w:t>
      </w:r>
      <w:r w:rsidR="00B9675E">
        <w:t>.</w:t>
      </w:r>
      <w:r w:rsidR="00A75F30">
        <w:t xml:space="preserve"> </w:t>
      </w:r>
      <w:r w:rsidR="00736ECC">
        <w:t>Accordingly</w:t>
      </w:r>
      <w:r w:rsidR="000A4091">
        <w:t>, t</w:t>
      </w:r>
      <w:r w:rsidR="00192674">
        <w:t xml:space="preserve">he </w:t>
      </w:r>
      <w:r w:rsidR="00190171">
        <w:t>Committee</w:t>
      </w:r>
      <w:r w:rsidR="006B29DA">
        <w:t xml:space="preserve"> concludes </w:t>
      </w:r>
      <w:r w:rsidR="00190171">
        <w:rPr>
          <w:bCs/>
          <w:iCs/>
        </w:rPr>
        <w:t>that the facts before it</w:t>
      </w:r>
      <w:r w:rsidR="00F7636E">
        <w:rPr>
          <w:bCs/>
          <w:iCs/>
        </w:rPr>
        <w:t xml:space="preserve"> disclose of a violation of Y’s rights under article 24 (1) of the Covenant</w:t>
      </w:r>
      <w:r w:rsidR="003A257A">
        <w:t xml:space="preserve">. </w:t>
      </w:r>
    </w:p>
    <w:p w14:paraId="63EF9B6C" w14:textId="523DB66D" w:rsidR="00EA1561" w:rsidRDefault="00A33D77" w:rsidP="00515108">
      <w:pPr>
        <w:pStyle w:val="SingleTxtG"/>
      </w:pPr>
      <w:r>
        <w:t>7.</w:t>
      </w:r>
      <w:r w:rsidR="0086442D">
        <w:t>9</w:t>
      </w:r>
      <w:r w:rsidR="00B25FA5">
        <w:tab/>
        <w:t>In view of the foregoing, the Committee does not deem it necessary to furt</w:t>
      </w:r>
      <w:r w:rsidR="003E16A4">
        <w:t>her examine the author’s claims,</w:t>
      </w:r>
      <w:r w:rsidR="00B25FA5">
        <w:t xml:space="preserve"> concerning the same matter, under </w:t>
      </w:r>
      <w:r w:rsidR="00F7636E">
        <w:t>articles 23 (1) and 26, read in conjunction with articles 23 (1) and 24 (1)</w:t>
      </w:r>
      <w:r w:rsidR="00B25FA5">
        <w:t xml:space="preserve"> </w:t>
      </w:r>
      <w:r w:rsidR="00F7636E">
        <w:t>of the Covenant</w:t>
      </w:r>
      <w:r w:rsidR="00B25FA5">
        <w:t>.</w:t>
      </w:r>
      <w:r w:rsidR="0070542B">
        <w:t xml:space="preserve"> </w:t>
      </w:r>
    </w:p>
    <w:p w14:paraId="468E70DD" w14:textId="1117771C" w:rsidR="00E03511" w:rsidRDefault="00C41A9F" w:rsidP="0018229F">
      <w:pPr>
        <w:pStyle w:val="SingleTxtG"/>
      </w:pPr>
      <w:r>
        <w:t>7.</w:t>
      </w:r>
      <w:r w:rsidR="00806B55">
        <w:t>1</w:t>
      </w:r>
      <w:r w:rsidR="005B5D1A">
        <w:t>0</w:t>
      </w:r>
      <w:r>
        <w:tab/>
        <w:t xml:space="preserve">In light of the above observations, the Committee </w:t>
      </w:r>
      <w:r w:rsidR="0072436F">
        <w:t xml:space="preserve">finds </w:t>
      </w:r>
      <w:r w:rsidR="002B0B9B">
        <w:t xml:space="preserve">that the </w:t>
      </w:r>
      <w:r w:rsidR="00535C0D">
        <w:t>State p</w:t>
      </w:r>
      <w:r w:rsidR="000B720F">
        <w:t>arty has violated Y’s rights under article 24 (1) o</w:t>
      </w:r>
      <w:r w:rsidR="0060146D">
        <w:t>f the Covenant</w:t>
      </w:r>
      <w:r w:rsidR="003A257A">
        <w:t xml:space="preserve">. </w:t>
      </w:r>
    </w:p>
    <w:p w14:paraId="618C9684" w14:textId="7A7167C2" w:rsidR="00C41A9F" w:rsidRDefault="00C41A9F" w:rsidP="00C41A9F">
      <w:pPr>
        <w:pStyle w:val="SingleTxtG"/>
      </w:pPr>
      <w:r>
        <w:t>8.</w:t>
      </w:r>
      <w:r>
        <w:tab/>
      </w:r>
      <w:r w:rsidRPr="005909D1">
        <w:t xml:space="preserve">The Committee, acting under article 5 (4) of the Optional Protocol, is of the view that the information before it discloses a violation by the State party of </w:t>
      </w:r>
      <w:r w:rsidR="000B720F">
        <w:t>Y’s rights under article 24 (1) of the Covenant</w:t>
      </w:r>
      <w:r>
        <w:t>.</w:t>
      </w:r>
    </w:p>
    <w:p w14:paraId="697723B0" w14:textId="19C2D9B4" w:rsidR="00C41A9F" w:rsidRDefault="00C41A9F" w:rsidP="00C41A9F">
      <w:pPr>
        <w:pStyle w:val="SingleTxtG"/>
      </w:pPr>
      <w:r>
        <w:t>9.</w:t>
      </w:r>
      <w:r>
        <w:tab/>
      </w:r>
      <w:r w:rsidRPr="00415BA0">
        <w:t>In accordance with article 2</w:t>
      </w:r>
      <w:r>
        <w:t> (</w:t>
      </w:r>
      <w:r w:rsidRPr="00415BA0">
        <w:t>3</w:t>
      </w:r>
      <w:r>
        <w:t>) </w:t>
      </w:r>
      <w:r w:rsidRPr="00415BA0">
        <w:t xml:space="preserve">(a) of the Covenant, the State party is under an obligation to provide </w:t>
      </w:r>
      <w:r w:rsidR="00F57DCC">
        <w:t>Y</w:t>
      </w:r>
      <w:r w:rsidRPr="00415BA0">
        <w:t xml:space="preserve"> with an effective remedy. This requires it to make full reparation to individuals whose Covenant rights </w:t>
      </w:r>
      <w:proofErr w:type="gramStart"/>
      <w:r w:rsidRPr="00415BA0">
        <w:t>have been violated</w:t>
      </w:r>
      <w:proofErr w:type="gramEnd"/>
      <w:r w:rsidRPr="00415BA0">
        <w:t xml:space="preserve">. </w:t>
      </w:r>
      <w:r>
        <w:t>In the present case</w:t>
      </w:r>
      <w:r w:rsidRPr="00415BA0">
        <w:t xml:space="preserve">, the State party is </w:t>
      </w:r>
      <w:r>
        <w:t xml:space="preserve">under an </w:t>
      </w:r>
      <w:r w:rsidRPr="00415BA0">
        <w:t>obligat</w:t>
      </w:r>
      <w:r>
        <w:t>ion</w:t>
      </w:r>
      <w:r w:rsidRPr="00415BA0">
        <w:t xml:space="preserve">, inter alia, to: </w:t>
      </w:r>
      <w:r w:rsidRPr="00743BAA">
        <w:t xml:space="preserve">(a) </w:t>
      </w:r>
      <w:r w:rsidR="00A812B7">
        <w:t>review Y’s circumstances with a view to ensuring her access to minimum subsistence, including</w:t>
      </w:r>
      <w:r w:rsidR="009D7262">
        <w:t xml:space="preserve"> by</w:t>
      </w:r>
      <w:r w:rsidR="00A812B7">
        <w:t xml:space="preserve"> re-evaluating the author’s application for the child budget, as appropriate</w:t>
      </w:r>
      <w:r w:rsidRPr="00743BAA">
        <w:t xml:space="preserve">; </w:t>
      </w:r>
      <w:r w:rsidR="00021185" w:rsidRPr="00743BAA">
        <w:t xml:space="preserve"> </w:t>
      </w:r>
      <w:r w:rsidR="00EE4FA8">
        <w:t xml:space="preserve">and </w:t>
      </w:r>
      <w:r w:rsidR="00021185" w:rsidRPr="00743BAA">
        <w:t>(</w:t>
      </w:r>
      <w:r w:rsidR="001C542B">
        <w:t>b</w:t>
      </w:r>
      <w:r w:rsidRPr="00743BAA">
        <w:t xml:space="preserve">) provide </w:t>
      </w:r>
      <w:r w:rsidR="009C49CD">
        <w:t>a</w:t>
      </w:r>
      <w:r w:rsidR="00F76B7D">
        <w:t xml:space="preserve">dequate </w:t>
      </w:r>
      <w:r w:rsidRPr="00743BAA">
        <w:t xml:space="preserve">compensation to </w:t>
      </w:r>
      <w:r w:rsidR="00021185" w:rsidRPr="00743BAA">
        <w:t xml:space="preserve">Y </w:t>
      </w:r>
      <w:r w:rsidRPr="00743BAA">
        <w:t>for the violations suffered.</w:t>
      </w:r>
      <w:r w:rsidRPr="00415BA0">
        <w:t xml:space="preserve"> The State party is also under an obligation to take </w:t>
      </w:r>
      <w:r>
        <w:t>all steps necessary</w:t>
      </w:r>
      <w:r w:rsidRPr="00415BA0">
        <w:t xml:space="preserve"> to prevent similar violations </w:t>
      </w:r>
      <w:r w:rsidR="00BC7C58">
        <w:t xml:space="preserve">from occurring </w:t>
      </w:r>
      <w:r w:rsidRPr="00415BA0">
        <w:t>in the future</w:t>
      </w:r>
      <w:r w:rsidR="00BC7C58">
        <w:t>.</w:t>
      </w:r>
      <w:r w:rsidR="00021185">
        <w:rPr>
          <w:rStyle w:val="FootnoteReference"/>
        </w:rPr>
        <w:footnoteReference w:id="27"/>
      </w:r>
    </w:p>
    <w:p w14:paraId="73CBE587" w14:textId="77777777" w:rsidR="002847D5" w:rsidRDefault="00B54275" w:rsidP="00C41A9F">
      <w:pPr>
        <w:pStyle w:val="SingleTxtG"/>
      </w:pPr>
      <w:proofErr w:type="gramStart"/>
      <w:r>
        <w:t>10.</w:t>
      </w:r>
      <w:r w:rsidR="00255FAA">
        <w:tab/>
      </w:r>
      <w:r w:rsidRPr="00A10891">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w:t>
      </w:r>
      <w:r w:rsidRPr="00A10891">
        <w:lastRenderedPageBreak/>
        <w:t>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t>’</w:t>
      </w:r>
      <w:r w:rsidRPr="00A10891">
        <w:t>s Views.</w:t>
      </w:r>
      <w:proofErr w:type="gramEnd"/>
      <w:r w:rsidRPr="00A10891">
        <w:t xml:space="preserve"> The State party </w:t>
      </w:r>
      <w:proofErr w:type="gramStart"/>
      <w:r w:rsidRPr="00A10891">
        <w:t>is also requested</w:t>
      </w:r>
      <w:proofErr w:type="gramEnd"/>
      <w:r w:rsidRPr="00A10891">
        <w:t xml:space="preserve"> to publish the present Views and to have them widely disseminated in </w:t>
      </w:r>
      <w:r>
        <w:t>the official language of</w:t>
      </w:r>
      <w:r w:rsidRPr="00A10891">
        <w:t xml:space="preserve"> the State party</w:t>
      </w:r>
    </w:p>
    <w:p w14:paraId="360B85D4" w14:textId="33A9AAC1" w:rsidR="002847D5" w:rsidRPr="00F75C5C" w:rsidRDefault="002847D5" w:rsidP="00F75C5C">
      <w:pPr>
        <w:suppressAutoHyphens w:val="0"/>
        <w:spacing w:line="240" w:lineRule="auto"/>
      </w:pPr>
      <w:r>
        <w:br w:type="page"/>
      </w:r>
    </w:p>
    <w:p w14:paraId="6E1CA941" w14:textId="4A59D9FC" w:rsidR="00B043A4" w:rsidRDefault="00B043A4" w:rsidP="00B043A4">
      <w:pPr>
        <w:pStyle w:val="HChG"/>
      </w:pPr>
      <w:r w:rsidRPr="00B043A4">
        <w:lastRenderedPageBreak/>
        <w:t xml:space="preserve"> </w:t>
      </w:r>
      <w:proofErr w:type="gramStart"/>
      <w:r>
        <w:t xml:space="preserve">Annex </w:t>
      </w:r>
      <w:r w:rsidR="000B3316">
        <w:t>:1</w:t>
      </w:r>
      <w:proofErr w:type="gramEnd"/>
    </w:p>
    <w:p w14:paraId="5C9621EA" w14:textId="5EC1C041" w:rsidR="00B043A4" w:rsidRPr="00EE0284" w:rsidRDefault="00B043A4" w:rsidP="00B043A4">
      <w:pPr>
        <w:pStyle w:val="H1G"/>
      </w:pPr>
      <w:r>
        <w:tab/>
      </w:r>
      <w:r>
        <w:tab/>
      </w:r>
      <w:r w:rsidRPr="00E24B52">
        <w:t>Join</w:t>
      </w:r>
      <w:r>
        <w:t>t</w:t>
      </w:r>
      <w:r w:rsidR="006A5C5D">
        <w:t xml:space="preserve"> opinion by</w:t>
      </w:r>
      <w:r w:rsidRPr="00EE0284">
        <w:t xml:space="preserve"> Mr. Yuval </w:t>
      </w:r>
      <w:proofErr w:type="spellStart"/>
      <w:r w:rsidRPr="00EE0284">
        <w:t>Shany</w:t>
      </w:r>
      <w:proofErr w:type="spellEnd"/>
      <w:r>
        <w:t xml:space="preserve"> and Ms. Marcia V.</w:t>
      </w:r>
      <w:r w:rsidR="006A5C5D">
        <w:t xml:space="preserve"> </w:t>
      </w:r>
      <w:r>
        <w:t xml:space="preserve">J. </w:t>
      </w:r>
      <w:proofErr w:type="spellStart"/>
      <w:r>
        <w:t>Kran</w:t>
      </w:r>
      <w:proofErr w:type="spellEnd"/>
      <w:r w:rsidR="000B3316">
        <w:t xml:space="preserve"> </w:t>
      </w:r>
      <w:bookmarkStart w:id="0" w:name="_GoBack"/>
      <w:bookmarkEnd w:id="0"/>
      <w:r w:rsidR="000B3316">
        <w:t>(</w:t>
      </w:r>
      <w:r w:rsidR="000B3316" w:rsidRPr="000B3316">
        <w:t>concurring</w:t>
      </w:r>
      <w:r w:rsidRPr="00EE0284">
        <w:t>)</w:t>
      </w:r>
    </w:p>
    <w:p w14:paraId="4650CB96" w14:textId="77777777" w:rsidR="002847D5" w:rsidRPr="00683443" w:rsidRDefault="002847D5" w:rsidP="002847D5">
      <w:pPr>
        <w:pStyle w:val="SingleTxtG"/>
      </w:pPr>
      <w:proofErr w:type="gramStart"/>
      <w:r w:rsidRPr="00683443">
        <w:t>1.</w:t>
      </w:r>
      <w:r>
        <w:tab/>
      </w:r>
      <w:r w:rsidRPr="00683443">
        <w:t>I am in agreement with the Committee that The Netherlands has failed to clearly indicate the “kinds of special circumstances under which the child budget may be granted to individuals without a residence permit” (para 7.6), and that it has not explained “the steps the author could have taken and failed to take in order to substantiate her statelessness and inability to leave the Netherlands during the relevant time”.</w:t>
      </w:r>
      <w:proofErr w:type="gramEnd"/>
      <w:r w:rsidRPr="00683443">
        <w:t xml:space="preserve"> (Para. 7.6).</w:t>
      </w:r>
    </w:p>
    <w:p w14:paraId="249F2458" w14:textId="018656F0" w:rsidR="002847D5" w:rsidRPr="00683443" w:rsidRDefault="002847D5" w:rsidP="002847D5">
      <w:pPr>
        <w:pStyle w:val="SingleTxtG"/>
      </w:pPr>
      <w:r>
        <w:t>2.</w:t>
      </w:r>
      <w:r>
        <w:tab/>
      </w:r>
      <w:r w:rsidRPr="00683443">
        <w:t xml:space="preserve">This leads me to conclude that the manner in which the criteria of eligibility for the </w:t>
      </w:r>
      <w:proofErr w:type="spellStart"/>
      <w:r w:rsidRPr="00683443">
        <w:t>kindgebonden</w:t>
      </w:r>
      <w:proofErr w:type="spellEnd"/>
      <w:r w:rsidRPr="00683443">
        <w:t xml:space="preserve"> budget, including the exceptional circumstances under which non-eligible families would be entitled to receive the budget, were not set out in a clear objective manner and were not applied to the author in a reasonable manner. Consequently, the actual exclusion of the author from eligibility to both regular and exceptional avenues for receipt of the </w:t>
      </w:r>
      <w:proofErr w:type="spellStart"/>
      <w:r w:rsidRPr="00683443">
        <w:t>kindgebonden</w:t>
      </w:r>
      <w:proofErr w:type="spellEnd"/>
      <w:r w:rsidRPr="00683443">
        <w:t xml:space="preserve"> budget were based, in my view, on criteria which were neither reasonable or objective, and which constituted a form of discrimination, contrary to article 26 of the Covenant and article 2(1) when read in conjunction with article 24.</w:t>
      </w:r>
      <w:r>
        <w:rPr>
          <w:rStyle w:val="EndnoteReference"/>
        </w:rPr>
        <w:endnoteReference w:id="2"/>
      </w:r>
      <w:r w:rsidRPr="00683443">
        <w:t xml:space="preserve"> </w:t>
      </w:r>
    </w:p>
    <w:p w14:paraId="0841F833" w14:textId="77777777" w:rsidR="002847D5" w:rsidRPr="00683443" w:rsidRDefault="002847D5" w:rsidP="002847D5">
      <w:pPr>
        <w:pStyle w:val="SingleTxtG"/>
      </w:pPr>
      <w:r>
        <w:t>3.</w:t>
      </w:r>
      <w:r>
        <w:tab/>
      </w:r>
      <w:r w:rsidRPr="00683443">
        <w:t xml:space="preserve">At the same time, I have some doubts regarding what appears to be the Committee’s main conclusion – i.e., that the State party was required to allow the author to receive support from the </w:t>
      </w:r>
      <w:proofErr w:type="spellStart"/>
      <w:r w:rsidRPr="00683443">
        <w:t>kindgebonden</w:t>
      </w:r>
      <w:proofErr w:type="spellEnd"/>
      <w:r w:rsidRPr="00683443">
        <w:t xml:space="preserve"> budget by virtue of article 24. </w:t>
      </w:r>
      <w:proofErr w:type="gramStart"/>
      <w:r w:rsidRPr="00683443">
        <w:t>While I share the position of the Committee that “under article 24 (1) of the Covenant, the State party had a positive obligation to ensure that Y’s physical and psychological well-being was protected, including through guarantee of subsistence under circumstances where her mother had no access to work or other income” (para. 7.8), I am of the view the states has broad discretion in identifying the appropriate social security program through which to implement this positive obligation.</w:t>
      </w:r>
      <w:proofErr w:type="gramEnd"/>
      <w:r w:rsidRPr="00683443">
        <w:t xml:space="preserve">  I further note in this regard that the Netherlands </w:t>
      </w:r>
      <w:proofErr w:type="gramStart"/>
      <w:r w:rsidRPr="00683443">
        <w:t>claimed that</w:t>
      </w:r>
      <w:proofErr w:type="gramEnd"/>
      <w:r w:rsidRPr="00683443">
        <w:t xml:space="preserve"> “neither general child benefits nor the child budget is a general income support scheme paid to families with children as minimum subsistence income” (para. 4.8). </w:t>
      </w:r>
    </w:p>
    <w:p w14:paraId="65DB60CA" w14:textId="77777777" w:rsidR="002847D5" w:rsidRPr="00683443" w:rsidRDefault="002847D5" w:rsidP="002847D5">
      <w:pPr>
        <w:pStyle w:val="SingleTxtG"/>
      </w:pPr>
      <w:r>
        <w:t>4.</w:t>
      </w:r>
      <w:r>
        <w:tab/>
      </w:r>
      <w:r w:rsidRPr="00683443">
        <w:t>Still, the State party has not identified what other social security measures were in place to address the needs and best interest of children, who face acute poverty and destitution, which puts their physical and psychological well-being under real risk. </w:t>
      </w:r>
    </w:p>
    <w:p w14:paraId="1AA0F9B2" w14:textId="4520EA4E" w:rsidR="00B54275" w:rsidRDefault="002847D5" w:rsidP="002847D5">
      <w:pPr>
        <w:pStyle w:val="SingleTxtG"/>
      </w:pPr>
      <w:r>
        <w:t>5.</w:t>
      </w:r>
      <w:r>
        <w:tab/>
      </w:r>
      <w:r w:rsidRPr="00683443">
        <w:t xml:space="preserve">For these reasons, I would not have based the article 24 finding by the Committee on the specific refusal to afford the author support under the </w:t>
      </w:r>
      <w:proofErr w:type="spellStart"/>
      <w:r w:rsidRPr="00683443">
        <w:t>kindgebonden</w:t>
      </w:r>
      <w:proofErr w:type="spellEnd"/>
      <w:r w:rsidRPr="00683443">
        <w:t xml:space="preserve"> budget program, but rather on the State party’s failure to identify any social security program that would evaluate and address the needs of the author’s minor child. I therefore propose to read paragraph 7.8 of the Committee’s Views relating to the separate violation of article 24 in that light.</w:t>
      </w:r>
    </w:p>
    <w:p w14:paraId="1AC98A9B" w14:textId="6EC752D2" w:rsidR="000B3316" w:rsidRPr="000B3316" w:rsidRDefault="000B3316" w:rsidP="000B3316">
      <w:pPr>
        <w:pStyle w:val="SingleTxtG"/>
        <w:spacing w:before="240" w:after="0"/>
        <w:jc w:val="center"/>
        <w:rPr>
          <w:u w:val="single"/>
        </w:rPr>
      </w:pPr>
      <w:r>
        <w:rPr>
          <w:u w:val="single"/>
        </w:rPr>
        <w:tab/>
      </w:r>
      <w:r>
        <w:rPr>
          <w:u w:val="single"/>
        </w:rPr>
        <w:tab/>
      </w:r>
      <w:r>
        <w:rPr>
          <w:u w:val="single"/>
        </w:rPr>
        <w:tab/>
      </w:r>
    </w:p>
    <w:p w14:paraId="2C97E494" w14:textId="7CBB1ED3" w:rsidR="0008667F" w:rsidRPr="0008667F" w:rsidRDefault="0008667F" w:rsidP="00F75C5C">
      <w:pPr>
        <w:pStyle w:val="SingleTxtG"/>
        <w:spacing w:before="240" w:after="0"/>
        <w:rPr>
          <w:u w:val="single"/>
        </w:rPr>
      </w:pPr>
      <w:r>
        <w:rPr>
          <w:u w:val="single"/>
        </w:rPr>
        <w:tab/>
      </w:r>
      <w:r>
        <w:rPr>
          <w:u w:val="single"/>
        </w:rPr>
        <w:tab/>
      </w:r>
      <w:r>
        <w:rPr>
          <w:u w:val="single"/>
        </w:rPr>
        <w:tab/>
      </w:r>
      <w:r w:rsidR="00EC62A2">
        <w:rPr>
          <w:u w:val="single"/>
        </w:rPr>
        <w:tab/>
      </w:r>
    </w:p>
    <w:sectPr w:rsidR="0008667F" w:rsidRPr="0008667F" w:rsidSect="00E60B8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AE9AA" w14:textId="77777777" w:rsidR="001122E9" w:rsidRDefault="001122E9"/>
  </w:endnote>
  <w:endnote w:type="continuationSeparator" w:id="0">
    <w:p w14:paraId="1E9076DE" w14:textId="77777777" w:rsidR="001122E9" w:rsidRDefault="001122E9"/>
  </w:endnote>
  <w:endnote w:type="continuationNotice" w:id="1">
    <w:p w14:paraId="01F38F33" w14:textId="77777777" w:rsidR="001122E9" w:rsidRDefault="001122E9"/>
  </w:endnote>
  <w:endnote w:id="2">
    <w:p w14:paraId="19C1F315" w14:textId="2B804733" w:rsidR="002847D5" w:rsidRPr="00F75C5C" w:rsidRDefault="002847D5" w:rsidP="00F75C5C">
      <w:pPr>
        <w:pStyle w:val="EndnoteText"/>
        <w:widowControl w:val="0"/>
        <w:rPr>
          <w:rStyle w:val="FootnoteTextChar1"/>
        </w:rPr>
      </w:pPr>
      <w:r>
        <w:tab/>
      </w:r>
      <w:r>
        <w:rPr>
          <w:rStyle w:val="EndnoteReference"/>
        </w:rPr>
        <w:endnoteRef/>
      </w:r>
      <w:r>
        <w:tab/>
      </w:r>
      <w:proofErr w:type="gramStart"/>
      <w:r w:rsidRPr="00F75C5C">
        <w:rPr>
          <w:rStyle w:val="FootnoteTextChar1"/>
        </w:rPr>
        <w:t xml:space="preserve">Two other recent cases of the Committee in which the application of domestic laws was found to be discriminatory because the reasons for allowing some exceptions to a general norm, but not allowing other exceptions to the same norm, have not been clearly explained or resulted in particularly harsh consequences, see Communication No. 2747/2016, </w:t>
      </w:r>
      <w:proofErr w:type="spellStart"/>
      <w:r w:rsidRPr="00F75C5C">
        <w:rPr>
          <w:rStyle w:val="FootnoteTextChar1"/>
        </w:rPr>
        <w:t>Yaker</w:t>
      </w:r>
      <w:proofErr w:type="spellEnd"/>
      <w:r w:rsidRPr="00F75C5C">
        <w:rPr>
          <w:rStyle w:val="FootnoteTextChar1"/>
        </w:rPr>
        <w:t xml:space="preserve"> v. France, Views of the Committee of 17 July 2018, para.</w:t>
      </w:r>
      <w:proofErr w:type="gramEnd"/>
      <w:r w:rsidRPr="00F75C5C">
        <w:rPr>
          <w:rStyle w:val="FootnoteTextChar1"/>
        </w:rPr>
        <w:t xml:space="preserve"> 8.15 (“the State party has provided no explanation why the blanket prohibition on the author’s veil is reasonable or justified, in contrast to the exceptions allowable under the Act”); Communication No. 2348/2014, Toussaint v. Canada, Views of the Committee of 24 July 2018, para. 11.8. (“the exclusion of the author from the IFHP care could result in the author’s loss of life or the irreversible negative consequences for the author’s health, the distinction drawn by the State party, for the purpose of admission to IFHP, between those having legal status in the country and those who have not been fully admitted to Canada, was not based on a reasonable and objective criteria”)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7A3B" w14:textId="659FF9CB" w:rsidR="001122E9" w:rsidRPr="00781C83" w:rsidRDefault="001122E9"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A5C5D">
      <w:rPr>
        <w:b/>
        <w:noProof/>
        <w:sz w:val="18"/>
      </w:rPr>
      <w:t>12</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1E7E" w14:textId="001F078B" w:rsidR="001122E9" w:rsidRPr="004264D2" w:rsidRDefault="001122E9" w:rsidP="00781C83">
    <w:pPr>
      <w:pStyle w:val="Footer"/>
      <w:tabs>
        <w:tab w:val="right" w:pos="9638"/>
      </w:tabs>
      <w:rPr>
        <w:b/>
        <w:bCs/>
        <w:sz w:val="18"/>
      </w:rPr>
    </w:pPr>
    <w:r>
      <w:rPr>
        <w:b/>
        <w:sz w:val="18"/>
      </w:rPr>
      <w:tab/>
    </w:r>
    <w:r w:rsidRPr="004264D2">
      <w:rPr>
        <w:b/>
        <w:bCs/>
        <w:sz w:val="18"/>
      </w:rPr>
      <w:fldChar w:fldCharType="begin"/>
    </w:r>
    <w:r w:rsidRPr="004264D2">
      <w:rPr>
        <w:b/>
        <w:bCs/>
        <w:sz w:val="18"/>
      </w:rPr>
      <w:instrText xml:space="preserve"> PAGE  \* MERGEFORMAT </w:instrText>
    </w:r>
    <w:r w:rsidRPr="004264D2">
      <w:rPr>
        <w:b/>
        <w:bCs/>
        <w:sz w:val="18"/>
      </w:rPr>
      <w:fldChar w:fldCharType="separate"/>
    </w:r>
    <w:r w:rsidR="006A5C5D">
      <w:rPr>
        <w:b/>
        <w:bCs/>
        <w:noProof/>
        <w:sz w:val="18"/>
      </w:rPr>
      <w:t>13</w:t>
    </w:r>
    <w:r w:rsidRPr="004264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9FC6" w14:textId="2150D664" w:rsidR="00575708" w:rsidRDefault="00575708" w:rsidP="00575708">
    <w:pPr>
      <w:pStyle w:val="Footer"/>
    </w:pPr>
    <w:r>
      <w:rPr>
        <w:noProof/>
        <w:lang w:eastAsia="en-GB"/>
      </w:rPr>
      <w:drawing>
        <wp:anchor distT="0" distB="0" distL="114300" distR="114300" simplePos="0" relativeHeight="251659264" behindDoc="1" locked="1" layoutInCell="1" allowOverlap="1" wp14:anchorId="763FB809" wp14:editId="058428A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6486F3" w14:textId="17796330" w:rsidR="00575708" w:rsidRPr="00575708" w:rsidRDefault="00575708" w:rsidP="00575708">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60813438" wp14:editId="25D9C6AD">
          <wp:simplePos x="0" y="0"/>
          <wp:positionH relativeFrom="margin">
            <wp:posOffset>5478780</wp:posOffset>
          </wp:positionH>
          <wp:positionV relativeFrom="margin">
            <wp:posOffset>8794750</wp:posOffset>
          </wp:positionV>
          <wp:extent cx="561975" cy="561975"/>
          <wp:effectExtent l="0" t="0" r="9525" b="9525"/>
          <wp:wrapNone/>
          <wp:docPr id="9" name="Picture 1" descr="https://undocs.org/m2/QRCode.ashx?DS=CCPR/C/125/DR/249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49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ADC0" w14:textId="77777777" w:rsidR="001122E9" w:rsidRPr="000B175B" w:rsidRDefault="001122E9" w:rsidP="000B175B">
      <w:pPr>
        <w:tabs>
          <w:tab w:val="right" w:pos="2155"/>
        </w:tabs>
        <w:spacing w:after="80"/>
        <w:ind w:left="680"/>
        <w:rPr>
          <w:u w:val="single"/>
        </w:rPr>
      </w:pPr>
      <w:r>
        <w:rPr>
          <w:u w:val="single"/>
        </w:rPr>
        <w:tab/>
      </w:r>
    </w:p>
  </w:footnote>
  <w:footnote w:type="continuationSeparator" w:id="0">
    <w:p w14:paraId="6C1FE473" w14:textId="77777777" w:rsidR="001122E9" w:rsidRPr="00FC68B7" w:rsidRDefault="001122E9" w:rsidP="00FC68B7">
      <w:pPr>
        <w:tabs>
          <w:tab w:val="left" w:pos="2155"/>
        </w:tabs>
        <w:spacing w:after="80"/>
        <w:ind w:left="680"/>
        <w:rPr>
          <w:u w:val="single"/>
        </w:rPr>
      </w:pPr>
      <w:r>
        <w:rPr>
          <w:u w:val="single"/>
        </w:rPr>
        <w:tab/>
      </w:r>
    </w:p>
  </w:footnote>
  <w:footnote w:type="continuationNotice" w:id="1">
    <w:p w14:paraId="7E6D8094" w14:textId="77777777" w:rsidR="001122E9" w:rsidRDefault="001122E9"/>
  </w:footnote>
  <w:footnote w:id="2">
    <w:p w14:paraId="5866EBDD" w14:textId="77777777" w:rsidR="00820BE3" w:rsidRPr="003166DC" w:rsidRDefault="00820BE3" w:rsidP="00820BE3">
      <w:pPr>
        <w:pStyle w:val="FootnoteText"/>
      </w:pPr>
      <w:r w:rsidRPr="00B46303">
        <w:rPr>
          <w:rStyle w:val="FootnoteReference"/>
          <w:vertAlign w:val="baseline"/>
        </w:rPr>
        <w:tab/>
        <w:t>*</w:t>
      </w:r>
      <w:r w:rsidRPr="00B46303">
        <w:rPr>
          <w:rStyle w:val="FootnoteReference"/>
          <w:vertAlign w:val="baseline"/>
        </w:rPr>
        <w:tab/>
      </w:r>
      <w:r w:rsidRPr="003166DC">
        <w:t>Adopted by the Committee at its 125th session (4-29 March 2019).</w:t>
      </w:r>
    </w:p>
  </w:footnote>
  <w:footnote w:id="3">
    <w:p w14:paraId="7F7356D2" w14:textId="69532B82" w:rsidR="00820BE3" w:rsidRPr="00B46303" w:rsidRDefault="00820BE3" w:rsidP="00820BE3">
      <w:pPr>
        <w:pStyle w:val="FootnoteText"/>
        <w:rPr>
          <w:lang w:val="en-GB"/>
        </w:rPr>
      </w:pPr>
      <w:r w:rsidRPr="00B46303">
        <w:rPr>
          <w:rStyle w:val="FootnoteReference"/>
          <w:vertAlign w:val="baseline"/>
        </w:rPr>
        <w:tab/>
        <w:t>**</w:t>
      </w:r>
      <w:r w:rsidRPr="00B46303">
        <w:rPr>
          <w:rStyle w:val="FootnoteReference"/>
          <w:vertAlign w:val="baseline"/>
        </w:rPr>
        <w:tab/>
      </w:r>
      <w:proofErr w:type="gramStart"/>
      <w:r w:rsidRPr="003166DC">
        <w:t xml:space="preserve">The following members of the Committee participated in the examination of the communication: Tania Maria </w:t>
      </w:r>
      <w:proofErr w:type="spellStart"/>
      <w:r w:rsidRPr="003166DC">
        <w:t>Abdo</w:t>
      </w:r>
      <w:proofErr w:type="spellEnd"/>
      <w:r w:rsidRPr="003166DC">
        <w:t xml:space="preserve"> </w:t>
      </w:r>
      <w:proofErr w:type="spellStart"/>
      <w:r w:rsidRPr="003166DC">
        <w:t>Rocholl</w:t>
      </w:r>
      <w:proofErr w:type="spellEnd"/>
      <w:r w:rsidRPr="003166DC">
        <w:t xml:space="preserve">, </w:t>
      </w:r>
      <w:proofErr w:type="spellStart"/>
      <w:r w:rsidRPr="003166DC">
        <w:t>Yadh</w:t>
      </w:r>
      <w:proofErr w:type="spellEnd"/>
      <w:r w:rsidR="000E30CE">
        <w:t xml:space="preserve"> Ben </w:t>
      </w:r>
      <w:proofErr w:type="spellStart"/>
      <w:r w:rsidR="000E30CE">
        <w:t>Achour</w:t>
      </w:r>
      <w:proofErr w:type="spellEnd"/>
      <w:r w:rsidR="000E30CE">
        <w:t xml:space="preserve">, </w:t>
      </w:r>
      <w:proofErr w:type="spellStart"/>
      <w:r w:rsidR="000E30CE">
        <w:t>Ilze</w:t>
      </w:r>
      <w:proofErr w:type="spellEnd"/>
      <w:r w:rsidR="000E30CE">
        <w:t xml:space="preserve"> Brands </w:t>
      </w:r>
      <w:proofErr w:type="spellStart"/>
      <w:r w:rsidR="000E30CE">
        <w:t>Kehris</w:t>
      </w:r>
      <w:proofErr w:type="spellEnd"/>
      <w:r w:rsidRPr="003166DC">
        <w:t xml:space="preserve">, Christopher </w:t>
      </w:r>
      <w:proofErr w:type="spellStart"/>
      <w:r w:rsidRPr="003166DC">
        <w:t>Arif</w:t>
      </w:r>
      <w:proofErr w:type="spellEnd"/>
      <w:r w:rsidRPr="003166DC">
        <w:t xml:space="preserve"> </w:t>
      </w:r>
      <w:proofErr w:type="spellStart"/>
      <w:r w:rsidRPr="003166DC">
        <w:t>Bulkan</w:t>
      </w:r>
      <w:proofErr w:type="spellEnd"/>
      <w:r w:rsidRPr="003166DC">
        <w:t xml:space="preserve">, Ahmed Amin </w:t>
      </w:r>
      <w:proofErr w:type="spellStart"/>
      <w:r w:rsidRPr="003166DC">
        <w:t>Fathalla</w:t>
      </w:r>
      <w:proofErr w:type="spellEnd"/>
      <w:r w:rsidRPr="003166DC">
        <w:t xml:space="preserve">, </w:t>
      </w:r>
      <w:proofErr w:type="spellStart"/>
      <w:r w:rsidRPr="003166DC">
        <w:t>Schuichi</w:t>
      </w:r>
      <w:proofErr w:type="spellEnd"/>
      <w:r w:rsidRPr="003166DC">
        <w:t xml:space="preserve"> </w:t>
      </w:r>
      <w:proofErr w:type="spellStart"/>
      <w:r w:rsidRPr="003166DC">
        <w:t>Furuya</w:t>
      </w:r>
      <w:proofErr w:type="spellEnd"/>
      <w:r w:rsidRPr="003166DC">
        <w:t xml:space="preserve">, </w:t>
      </w:r>
      <w:proofErr w:type="spellStart"/>
      <w:r w:rsidRPr="003166DC">
        <w:t>Chri</w:t>
      </w:r>
      <w:r w:rsidR="000E30CE">
        <w:t>stof</w:t>
      </w:r>
      <w:proofErr w:type="spellEnd"/>
      <w:r w:rsidR="000E30CE">
        <w:t xml:space="preserve"> </w:t>
      </w:r>
      <w:proofErr w:type="spellStart"/>
      <w:r w:rsidR="000E30CE">
        <w:t>Heyns</w:t>
      </w:r>
      <w:proofErr w:type="spellEnd"/>
      <w:r w:rsidR="000E30CE">
        <w:t xml:space="preserve">, </w:t>
      </w:r>
      <w:proofErr w:type="spellStart"/>
      <w:r w:rsidR="000E30CE">
        <w:t>Bamariam</w:t>
      </w:r>
      <w:proofErr w:type="spellEnd"/>
      <w:r w:rsidR="000E30CE">
        <w:t xml:space="preserve"> </w:t>
      </w:r>
      <w:proofErr w:type="spellStart"/>
      <w:r w:rsidR="000E30CE">
        <w:t>Koita</w:t>
      </w:r>
      <w:proofErr w:type="spellEnd"/>
      <w:r w:rsidR="000E30CE">
        <w:t>, Marc</w:t>
      </w:r>
      <w:r w:rsidRPr="003166DC">
        <w:t>ia V.</w:t>
      </w:r>
      <w:r w:rsidR="00775BFD">
        <w:t>J.</w:t>
      </w:r>
      <w:r w:rsidRPr="003166DC">
        <w:t xml:space="preserve"> </w:t>
      </w:r>
      <w:proofErr w:type="spellStart"/>
      <w:r w:rsidRPr="003166DC">
        <w:t>Kran</w:t>
      </w:r>
      <w:proofErr w:type="spellEnd"/>
      <w:r w:rsidRPr="003166DC">
        <w:t xml:space="preserve">, Duncan </w:t>
      </w:r>
      <w:proofErr w:type="spellStart"/>
      <w:r w:rsidRPr="003166DC">
        <w:t>Laki</w:t>
      </w:r>
      <w:proofErr w:type="spellEnd"/>
      <w:r w:rsidRPr="003166DC">
        <w:t xml:space="preserve"> </w:t>
      </w:r>
      <w:proofErr w:type="spellStart"/>
      <w:r w:rsidRPr="003166DC">
        <w:t>Muhumuza</w:t>
      </w:r>
      <w:proofErr w:type="spellEnd"/>
      <w:r w:rsidRPr="003166DC">
        <w:t xml:space="preserve">, </w:t>
      </w:r>
      <w:proofErr w:type="spellStart"/>
      <w:r w:rsidRPr="003166DC">
        <w:t>Photini</w:t>
      </w:r>
      <w:proofErr w:type="spellEnd"/>
      <w:r w:rsidRPr="003166DC">
        <w:t xml:space="preserve"> </w:t>
      </w:r>
      <w:proofErr w:type="spellStart"/>
      <w:r w:rsidRPr="003166DC">
        <w:t>Pazartzis</w:t>
      </w:r>
      <w:proofErr w:type="spellEnd"/>
      <w:r>
        <w:t>,</w:t>
      </w:r>
      <w:r w:rsidRPr="003166DC">
        <w:t xml:space="preserve"> </w:t>
      </w:r>
      <w:proofErr w:type="spellStart"/>
      <w:r w:rsidRPr="003166DC">
        <w:t>Hernán</w:t>
      </w:r>
      <w:proofErr w:type="spellEnd"/>
      <w:r w:rsidRPr="003166DC">
        <w:t xml:space="preserve"> Quezada Cabrera, </w:t>
      </w:r>
      <w:proofErr w:type="spellStart"/>
      <w:r w:rsidRPr="003166DC">
        <w:t>Vasilka</w:t>
      </w:r>
      <w:proofErr w:type="spellEnd"/>
      <w:r w:rsidRPr="003166DC">
        <w:t xml:space="preserve"> </w:t>
      </w:r>
      <w:proofErr w:type="spellStart"/>
      <w:r w:rsidRPr="003166DC">
        <w:t>Sancin</w:t>
      </w:r>
      <w:proofErr w:type="spellEnd"/>
      <w:r w:rsidRPr="003166DC">
        <w:t xml:space="preserve">,  José Manuel Santos </w:t>
      </w:r>
      <w:proofErr w:type="spellStart"/>
      <w:r w:rsidRPr="003166DC">
        <w:t>Pais</w:t>
      </w:r>
      <w:proofErr w:type="spellEnd"/>
      <w:r w:rsidRPr="003166DC">
        <w:t xml:space="preserve">, Yuval </w:t>
      </w:r>
      <w:proofErr w:type="spellStart"/>
      <w:r w:rsidRPr="003166DC">
        <w:t>Shany</w:t>
      </w:r>
      <w:proofErr w:type="spellEnd"/>
      <w:r w:rsidRPr="003166DC">
        <w:t xml:space="preserve">, Hélène </w:t>
      </w:r>
      <w:proofErr w:type="spellStart"/>
      <w:r w:rsidRPr="003166DC">
        <w:t>Tigroudja</w:t>
      </w:r>
      <w:proofErr w:type="spellEnd"/>
      <w:r w:rsidRPr="003166DC">
        <w:t xml:space="preserve">, Andreas Zimmermann and Gentian </w:t>
      </w:r>
      <w:proofErr w:type="spellStart"/>
      <w:r w:rsidRPr="003166DC">
        <w:t>Zyberi</w:t>
      </w:r>
      <w:proofErr w:type="spellEnd"/>
      <w:r w:rsidRPr="003166DC">
        <w:t>.</w:t>
      </w:r>
      <w:proofErr w:type="gramEnd"/>
    </w:p>
  </w:footnote>
  <w:footnote w:id="4">
    <w:p w14:paraId="7CE5614E" w14:textId="288816DD" w:rsidR="002847D5" w:rsidRPr="000E7E82" w:rsidRDefault="002847D5" w:rsidP="002847D5">
      <w:pPr>
        <w:pStyle w:val="FootnoteText"/>
      </w:pPr>
      <w:r>
        <w:rPr>
          <w:rStyle w:val="FootnoteReference"/>
        </w:rPr>
        <w:tab/>
      </w:r>
      <w:r w:rsidRPr="00F75C5C">
        <w:rPr>
          <w:rStyle w:val="FootnoteReference"/>
          <w:sz w:val="20"/>
          <w:vertAlign w:val="baseline"/>
        </w:rPr>
        <w:t>***</w:t>
      </w:r>
      <w:r>
        <w:rPr>
          <w:rStyle w:val="FootnoteReference"/>
          <w:sz w:val="20"/>
          <w:vertAlign w:val="baseline"/>
        </w:rPr>
        <w:tab/>
      </w:r>
      <w:r w:rsidR="000B3316">
        <w:t>A joint opinion (</w:t>
      </w:r>
      <w:r w:rsidR="000B3316" w:rsidRPr="000B3316">
        <w:t>concurring</w:t>
      </w:r>
      <w:r w:rsidR="00B043A4" w:rsidRPr="00B043A4">
        <w:t xml:space="preserve">) by Committee members </w:t>
      </w:r>
      <w:proofErr w:type="spellStart"/>
      <w:r w:rsidR="00C85883">
        <w:t>Mr</w:t>
      </w:r>
      <w:r w:rsidR="00B043A4">
        <w:t>.</w:t>
      </w:r>
      <w:r w:rsidR="00B043A4" w:rsidRPr="00B043A4">
        <w:t>Yuval</w:t>
      </w:r>
      <w:proofErr w:type="spellEnd"/>
      <w:r w:rsidR="00B043A4" w:rsidRPr="00B043A4">
        <w:t xml:space="preserve"> </w:t>
      </w:r>
      <w:proofErr w:type="spellStart"/>
      <w:r w:rsidR="00F75C5C" w:rsidRPr="00B043A4">
        <w:t>Shany</w:t>
      </w:r>
      <w:proofErr w:type="spellEnd"/>
      <w:r w:rsidR="00F75C5C" w:rsidRPr="00B043A4">
        <w:t xml:space="preserve"> </w:t>
      </w:r>
      <w:r w:rsidR="00F75C5C">
        <w:t>and</w:t>
      </w:r>
      <w:r w:rsidR="00C85883">
        <w:t xml:space="preserve"> Ms. Marcia V.J. </w:t>
      </w:r>
      <w:proofErr w:type="spellStart"/>
      <w:r w:rsidR="00C85883">
        <w:t>Kran</w:t>
      </w:r>
      <w:proofErr w:type="spellEnd"/>
      <w:r w:rsidR="00C85883">
        <w:t xml:space="preserve"> </w:t>
      </w:r>
      <w:proofErr w:type="gramStart"/>
      <w:r w:rsidR="00C85883">
        <w:t xml:space="preserve">are </w:t>
      </w:r>
      <w:r w:rsidR="00B043A4" w:rsidRPr="00B043A4">
        <w:t>annexed</w:t>
      </w:r>
      <w:proofErr w:type="gramEnd"/>
      <w:r w:rsidR="00B043A4" w:rsidRPr="00B043A4">
        <w:t xml:space="preserve"> to the present </w:t>
      </w:r>
      <w:r w:rsidR="00C85883">
        <w:t>Views.</w:t>
      </w:r>
    </w:p>
    <w:p w14:paraId="06D2F1AA" w14:textId="77777777" w:rsidR="002847D5" w:rsidRPr="00CD629F" w:rsidRDefault="002847D5" w:rsidP="002847D5">
      <w:pPr>
        <w:pStyle w:val="FootnoteText"/>
      </w:pPr>
    </w:p>
    <w:p w14:paraId="1645832C" w14:textId="3F47A4EE" w:rsidR="002847D5" w:rsidRPr="00F75C5C" w:rsidRDefault="002847D5">
      <w:pPr>
        <w:pStyle w:val="FootnoteText"/>
        <w:rPr>
          <w:lang w:val="en-GB"/>
        </w:rPr>
      </w:pPr>
    </w:p>
  </w:footnote>
  <w:footnote w:id="5">
    <w:p w14:paraId="37E2722A" w14:textId="4DBE9C28" w:rsidR="001122E9" w:rsidRDefault="0071092C" w:rsidP="0071092C">
      <w:pPr>
        <w:pStyle w:val="FootnoteText"/>
      </w:pPr>
      <w:r>
        <w:tab/>
      </w:r>
      <w:r w:rsidR="001122E9" w:rsidRPr="0071092C">
        <w:rPr>
          <w:rStyle w:val="FootnoteReference"/>
        </w:rPr>
        <w:footnoteRef/>
      </w:r>
      <w:r>
        <w:tab/>
      </w:r>
      <w:r w:rsidR="001122E9" w:rsidRPr="0071092C">
        <w:t>The author provides certificates from the Embassy of Uzbekistan</w:t>
      </w:r>
      <w:r w:rsidR="001122E9" w:rsidRPr="00497D0B">
        <w:t xml:space="preserve"> in Belgium dated 14 April 2009, 25 May 2011, and 14 March 2012, and 12 July 2013. The</w:t>
      </w:r>
      <w:r w:rsidR="001122E9">
        <w:t xml:space="preserve"> certificates state that the author lost her Uzbek nationality because she had not lived in Uzbekistan since 2000 and </w:t>
      </w:r>
      <w:proofErr w:type="gramStart"/>
      <w:r w:rsidR="001122E9">
        <w:t>was not registered</w:t>
      </w:r>
      <w:proofErr w:type="gramEnd"/>
      <w:r w:rsidR="001122E9">
        <w:t xml:space="preserve"> at the Uzbek Embassy. In view of this, she </w:t>
      </w:r>
      <w:proofErr w:type="gramStart"/>
      <w:r w:rsidR="001122E9">
        <w:t>could not be granted</w:t>
      </w:r>
      <w:proofErr w:type="gramEnd"/>
      <w:r w:rsidR="001122E9">
        <w:t xml:space="preserve"> a passport or a return visa. </w:t>
      </w:r>
    </w:p>
  </w:footnote>
  <w:footnote w:id="6">
    <w:p w14:paraId="53049C09" w14:textId="40EB3597" w:rsidR="001122E9" w:rsidRPr="0071092C" w:rsidRDefault="0071092C" w:rsidP="0071092C">
      <w:pPr>
        <w:pStyle w:val="FootnoteText"/>
      </w:pPr>
      <w:r>
        <w:tab/>
      </w:r>
      <w:r w:rsidR="001122E9" w:rsidRPr="0071092C">
        <w:rPr>
          <w:rStyle w:val="FootnoteReference"/>
        </w:rPr>
        <w:footnoteRef/>
      </w:r>
      <w:r w:rsidR="001122E9" w:rsidRPr="0071092C">
        <w:rPr>
          <w:rStyle w:val="FootnoteReference"/>
        </w:rPr>
        <w:t xml:space="preserve"> </w:t>
      </w:r>
      <w:r>
        <w:tab/>
      </w:r>
      <w:r w:rsidR="001122E9" w:rsidRPr="0071092C">
        <w:t>According to the State party’s initial observations (para. 47), the application for general child benefits was denied because the author was not a lawful resident and was therefore not entitled to the benefits.</w:t>
      </w:r>
    </w:p>
  </w:footnote>
  <w:footnote w:id="7">
    <w:p w14:paraId="66A12B6D" w14:textId="24797875" w:rsidR="001122E9" w:rsidRPr="0071092C" w:rsidRDefault="001122E9" w:rsidP="0071092C">
      <w:pPr>
        <w:pStyle w:val="FootnoteText"/>
      </w:pPr>
      <w:r>
        <w:tab/>
      </w:r>
      <w:r w:rsidRPr="0071092C">
        <w:rPr>
          <w:rStyle w:val="FootnoteReference"/>
        </w:rPr>
        <w:footnoteRef/>
      </w:r>
      <w:r w:rsidR="0071092C">
        <w:tab/>
      </w:r>
      <w:r w:rsidRPr="0071092C">
        <w:t>In its initial observations (para. 44), the State party indicates that according to the District Court, “the argument that the situation involved statelessness and the impossibility of leaving the Netherlands had not been – sufficiently – substantiated. Nor did the financial situation constitute a special circumstance, because it had not been argued or demonstrated that not granting child budget would lead to a humanitarian emergency situation.”</w:t>
      </w:r>
      <w:r w:rsidR="009B0EFB" w:rsidRPr="0071092C">
        <w:t xml:space="preserve"> </w:t>
      </w:r>
    </w:p>
  </w:footnote>
  <w:footnote w:id="8">
    <w:p w14:paraId="0325C433" w14:textId="630EF6BF" w:rsidR="001122E9" w:rsidRDefault="0071092C" w:rsidP="006F0678">
      <w:pPr>
        <w:pStyle w:val="FootnoteText"/>
      </w:pPr>
      <w:r>
        <w:tab/>
      </w:r>
      <w:r w:rsidR="001122E9">
        <w:rPr>
          <w:rStyle w:val="FootnoteReference"/>
        </w:rPr>
        <w:footnoteRef/>
      </w:r>
      <w:r>
        <w:tab/>
      </w:r>
      <w:r w:rsidR="001122E9">
        <w:t xml:space="preserve">The </w:t>
      </w:r>
      <w:proofErr w:type="gramStart"/>
      <w:r w:rsidR="001122E9">
        <w:t>information relating to this application was provided by the State party</w:t>
      </w:r>
      <w:proofErr w:type="gramEnd"/>
      <w:r w:rsidR="001122E9">
        <w:t xml:space="preserve">. </w:t>
      </w:r>
    </w:p>
  </w:footnote>
  <w:footnote w:id="9">
    <w:p w14:paraId="729AAFE1" w14:textId="501CD9D9" w:rsidR="001122E9" w:rsidRPr="0071092C" w:rsidRDefault="0071092C" w:rsidP="0071092C">
      <w:pPr>
        <w:pStyle w:val="FootnoteText"/>
      </w:pPr>
      <w:r>
        <w:tab/>
      </w:r>
      <w:r w:rsidR="001122E9" w:rsidRPr="0071092C">
        <w:rPr>
          <w:rStyle w:val="FootnoteReference"/>
        </w:rPr>
        <w:footnoteRef/>
      </w:r>
      <w:r w:rsidRPr="0071092C">
        <w:tab/>
      </w:r>
      <w:r w:rsidR="001122E9" w:rsidRPr="0071092C">
        <w:t xml:space="preserve">According to the translation provided by the author, the District Court found that although the author was stateless, she had not met the burden of proving that she was not responsible for the situation. </w:t>
      </w:r>
    </w:p>
  </w:footnote>
  <w:footnote w:id="10">
    <w:p w14:paraId="6D32680A" w14:textId="5145D596" w:rsidR="001122E9" w:rsidRPr="0071092C" w:rsidRDefault="0071092C" w:rsidP="0071092C">
      <w:pPr>
        <w:pStyle w:val="FootnoteText"/>
      </w:pPr>
      <w:r>
        <w:tab/>
      </w:r>
      <w:r w:rsidR="001122E9" w:rsidRPr="0071092C">
        <w:rPr>
          <w:rStyle w:val="FootnoteReference"/>
        </w:rPr>
        <w:footnoteRef/>
      </w:r>
      <w:r w:rsidRPr="0071092C">
        <w:rPr>
          <w:rStyle w:val="FootnoteReference"/>
        </w:rPr>
        <w:tab/>
      </w:r>
      <w:r w:rsidR="001122E9" w:rsidRPr="0071092C">
        <w:t xml:space="preserve">The State party indicates that this procedure is a “transitional scheme for long-term resident children.” </w:t>
      </w:r>
    </w:p>
  </w:footnote>
  <w:footnote w:id="11">
    <w:p w14:paraId="4147E8EE" w14:textId="3D906FF0" w:rsidR="001122E9" w:rsidRPr="0071092C" w:rsidRDefault="0071092C" w:rsidP="0071092C">
      <w:pPr>
        <w:pStyle w:val="FootnoteText"/>
      </w:pPr>
      <w:r>
        <w:tab/>
      </w:r>
      <w:r w:rsidR="001122E9" w:rsidRPr="0071092C">
        <w:rPr>
          <w:rStyle w:val="FootnoteReference"/>
        </w:rPr>
        <w:footnoteRef/>
      </w:r>
      <w:r>
        <w:tab/>
      </w:r>
      <w:r w:rsidR="001122E9" w:rsidRPr="0071092C">
        <w:t xml:space="preserve">The State party indicates in para. </w:t>
      </w:r>
      <w:proofErr w:type="gramStart"/>
      <w:r w:rsidR="001122E9" w:rsidRPr="0071092C">
        <w:t>38</w:t>
      </w:r>
      <w:proofErr w:type="gramEnd"/>
      <w:r w:rsidR="001122E9" w:rsidRPr="0071092C">
        <w:t xml:space="preserve"> of its initial observations that on 6 September 2013, the author applied again for a residence permit for Y under the transitional scheme; the application was denied on 2 December 2013 on the same grounds. The author’s appeal contested both decisions.</w:t>
      </w:r>
    </w:p>
  </w:footnote>
  <w:footnote w:id="12">
    <w:p w14:paraId="49E05CD4" w14:textId="64B831C4" w:rsidR="001122E9" w:rsidRPr="009706E3" w:rsidRDefault="009706E3" w:rsidP="009706E3">
      <w:pPr>
        <w:pStyle w:val="FootnoteText"/>
      </w:pPr>
      <w:r>
        <w:tab/>
      </w:r>
      <w:r w:rsidR="001122E9" w:rsidRPr="009706E3">
        <w:rPr>
          <w:rStyle w:val="FootnoteReference"/>
        </w:rPr>
        <w:footnoteRef/>
      </w:r>
      <w:r w:rsidRPr="009706E3">
        <w:rPr>
          <w:rStyle w:val="FootnoteReference"/>
        </w:rPr>
        <w:tab/>
      </w:r>
      <w:r w:rsidR="001122E9" w:rsidRPr="009706E3">
        <w:t xml:space="preserve">The State party informs in its initial observations (para. 36) that the residence permit </w:t>
      </w:r>
      <w:proofErr w:type="gramStart"/>
      <w:r w:rsidR="001122E9" w:rsidRPr="009706E3">
        <w:t>was extended</w:t>
      </w:r>
      <w:proofErr w:type="gramEnd"/>
      <w:r w:rsidR="001122E9" w:rsidRPr="009706E3">
        <w:t xml:space="preserve"> until 13 June 2016.</w:t>
      </w:r>
    </w:p>
  </w:footnote>
  <w:footnote w:id="13">
    <w:p w14:paraId="733AC6CB" w14:textId="32653D59" w:rsidR="001122E9" w:rsidRPr="009478D3" w:rsidRDefault="001122E9" w:rsidP="009706E3">
      <w:pPr>
        <w:pStyle w:val="FootnoteText"/>
      </w:pPr>
      <w:r>
        <w:tab/>
      </w:r>
      <w:r>
        <w:rPr>
          <w:rStyle w:val="FootnoteReference"/>
        </w:rPr>
        <w:footnoteRef/>
      </w:r>
      <w:r w:rsidR="009706E3">
        <w:tab/>
      </w:r>
      <w:r>
        <w:t xml:space="preserve">The author cites European Court of Human Rights, </w:t>
      </w:r>
      <w:proofErr w:type="spellStart"/>
      <w:r w:rsidRPr="005A17DE">
        <w:rPr>
          <w:i/>
        </w:rPr>
        <w:t>Niedzwiecki</w:t>
      </w:r>
      <w:proofErr w:type="spellEnd"/>
      <w:r w:rsidRPr="005A17DE">
        <w:rPr>
          <w:i/>
        </w:rPr>
        <w:t xml:space="preserve"> v. Germany</w:t>
      </w:r>
      <w:r>
        <w:t xml:space="preserve"> (application No. 58453/00), judgment of 25 October 2005, </w:t>
      </w:r>
      <w:proofErr w:type="gramStart"/>
      <w:r>
        <w:t>para</w:t>
      </w:r>
      <w:proofErr w:type="gramEnd"/>
      <w:r>
        <w:t xml:space="preserve">. 31. </w:t>
      </w:r>
    </w:p>
  </w:footnote>
  <w:footnote w:id="14">
    <w:p w14:paraId="550C0798" w14:textId="4C8E69AA" w:rsidR="001122E9" w:rsidRPr="009478D3" w:rsidRDefault="009706E3" w:rsidP="009478D3">
      <w:pPr>
        <w:pStyle w:val="FootnoteText"/>
      </w:pPr>
      <w:r>
        <w:tab/>
      </w:r>
      <w:r w:rsidR="001122E9" w:rsidRPr="009706E3">
        <w:rPr>
          <w:rStyle w:val="FootnoteReference"/>
        </w:rPr>
        <w:footnoteRef/>
      </w:r>
      <w:r>
        <w:tab/>
      </w:r>
      <w:r w:rsidR="001122E9" w:rsidRPr="009478D3">
        <w:t xml:space="preserve">The author cites Judgment of 24 January 2006 (ECLI: NL: CRVB: AV 0197). </w:t>
      </w:r>
    </w:p>
  </w:footnote>
  <w:footnote w:id="15">
    <w:p w14:paraId="5CB1453E" w14:textId="70EF4ED4" w:rsidR="001122E9" w:rsidRPr="009478D3" w:rsidRDefault="009706E3" w:rsidP="009478D3">
      <w:pPr>
        <w:pStyle w:val="FootnoteText"/>
      </w:pPr>
      <w:r>
        <w:tab/>
      </w:r>
      <w:r w:rsidR="001122E9" w:rsidRPr="009706E3">
        <w:rPr>
          <w:rStyle w:val="FootnoteReference"/>
        </w:rPr>
        <w:footnoteRef/>
      </w:r>
      <w:r>
        <w:tab/>
      </w:r>
      <w:r w:rsidR="001122E9" w:rsidRPr="009478D3">
        <w:t xml:space="preserve">The author provides a translation of a letter from the Repatriation and Departure Services dated 24 July 2013. The letter refers to the aforementioned certificate issued by the Embassy of Uzbekistan in Belgium on 12 July 2013, stating that the author had lost her Uzbek nationality. </w:t>
      </w:r>
      <w:r w:rsidR="003B3D73">
        <w:t xml:space="preserve"> </w:t>
      </w:r>
    </w:p>
  </w:footnote>
  <w:footnote w:id="16">
    <w:p w14:paraId="11324A74" w14:textId="2875F783" w:rsidR="001122E9" w:rsidRPr="009478D3" w:rsidRDefault="009706E3" w:rsidP="009478D3">
      <w:pPr>
        <w:pStyle w:val="FootnoteText"/>
      </w:pPr>
      <w:r>
        <w:tab/>
      </w:r>
      <w:r w:rsidR="001122E9" w:rsidRPr="009706E3">
        <w:rPr>
          <w:rStyle w:val="FootnoteReference"/>
        </w:rPr>
        <w:footnoteRef/>
      </w:r>
      <w:r>
        <w:tab/>
      </w:r>
      <w:r w:rsidR="001122E9" w:rsidRPr="009478D3">
        <w:t xml:space="preserve">The author provides a letter from an individual, Z, dated 18 July 2011. It states that Z had been financially supporting the author and her family in The Hague for a few years, but was no longer able to assist them, except for by offering them food. </w:t>
      </w:r>
      <w:r w:rsidR="003B3D73">
        <w:t xml:space="preserve"> </w:t>
      </w:r>
    </w:p>
  </w:footnote>
  <w:footnote w:id="17">
    <w:p w14:paraId="1604583A" w14:textId="440989EF" w:rsidR="001122E9" w:rsidRPr="009478D3" w:rsidRDefault="009706E3" w:rsidP="009478D3">
      <w:pPr>
        <w:pStyle w:val="FootnoteText"/>
      </w:pPr>
      <w:r>
        <w:tab/>
      </w:r>
      <w:r w:rsidR="001122E9" w:rsidRPr="009706E3">
        <w:rPr>
          <w:rStyle w:val="FootnoteReference"/>
        </w:rPr>
        <w:footnoteRef/>
      </w:r>
      <w:r>
        <w:tab/>
      </w:r>
      <w:r w:rsidR="001122E9" w:rsidRPr="009478D3">
        <w:t>The author cites Supreme Court of the Netherlands, 23 November 2012, section 3.5.10, ECLI</w:t>
      </w:r>
      <w:proofErr w:type="gramStart"/>
      <w:r w:rsidR="001122E9" w:rsidRPr="009478D3">
        <w:t>:NL:HR:BW7740</w:t>
      </w:r>
      <w:proofErr w:type="gramEnd"/>
      <w:r w:rsidR="001122E9" w:rsidRPr="009478D3">
        <w:t>.</w:t>
      </w:r>
    </w:p>
  </w:footnote>
  <w:footnote w:id="18">
    <w:p w14:paraId="7F48FAF7" w14:textId="6CC94587" w:rsidR="001122E9" w:rsidRPr="009478D3" w:rsidRDefault="001122E9" w:rsidP="009706E3">
      <w:pPr>
        <w:pStyle w:val="FootnoteText"/>
      </w:pPr>
      <w:r w:rsidRPr="009478D3">
        <w:tab/>
      </w:r>
      <w:r w:rsidRPr="009706E3">
        <w:rPr>
          <w:rStyle w:val="FootnoteReference"/>
        </w:rPr>
        <w:footnoteRef/>
      </w:r>
      <w:r w:rsidR="009706E3" w:rsidRPr="009706E3">
        <w:rPr>
          <w:rStyle w:val="FootnoteReference"/>
        </w:rPr>
        <w:tab/>
      </w:r>
      <w:r w:rsidRPr="009478D3">
        <w:t xml:space="preserve">The author refers to communication No. 976/2011, </w:t>
      </w:r>
      <w:r w:rsidRPr="00561E31">
        <w:rPr>
          <w:i/>
        </w:rPr>
        <w:t xml:space="preserve">Cecilia </w:t>
      </w:r>
      <w:proofErr w:type="spellStart"/>
      <w:r w:rsidRPr="00561E31">
        <w:rPr>
          <w:i/>
        </w:rPr>
        <w:t>Derksen</w:t>
      </w:r>
      <w:proofErr w:type="spellEnd"/>
      <w:r w:rsidRPr="00561E31">
        <w:rPr>
          <w:i/>
        </w:rPr>
        <w:t xml:space="preserve"> v. the Netherlands</w:t>
      </w:r>
      <w:r w:rsidRPr="009478D3">
        <w:t>, Views adopted on 1 April 2004.</w:t>
      </w:r>
    </w:p>
  </w:footnote>
  <w:footnote w:id="19">
    <w:p w14:paraId="6E55B24D" w14:textId="23A27A24" w:rsidR="001122E9" w:rsidRPr="009478D3" w:rsidRDefault="009706E3" w:rsidP="009478D3">
      <w:pPr>
        <w:pStyle w:val="FootnoteText"/>
      </w:pPr>
      <w:r>
        <w:tab/>
      </w:r>
      <w:r w:rsidR="001122E9" w:rsidRPr="009706E3">
        <w:rPr>
          <w:rStyle w:val="FootnoteReference"/>
        </w:rPr>
        <w:footnoteRef/>
      </w:r>
      <w:r>
        <w:tab/>
      </w:r>
      <w:r w:rsidR="001122E9" w:rsidRPr="009478D3">
        <w:t xml:space="preserve">The State party also states that several additional exceptions to the rule exist for various categories of persons, including suspected victims of trafficking in women, etc. </w:t>
      </w:r>
    </w:p>
  </w:footnote>
  <w:footnote w:id="20">
    <w:p w14:paraId="29128CD2" w14:textId="6968B6B2" w:rsidR="001122E9" w:rsidRPr="009478D3" w:rsidRDefault="001122E9" w:rsidP="009478D3">
      <w:pPr>
        <w:pStyle w:val="FootnoteText"/>
      </w:pPr>
      <w:r>
        <w:tab/>
      </w:r>
      <w:r w:rsidRPr="009706E3">
        <w:rPr>
          <w:rStyle w:val="FootnoteReference"/>
        </w:rPr>
        <w:footnoteRef/>
      </w:r>
      <w:r w:rsidR="009706E3">
        <w:tab/>
      </w:r>
      <w:r w:rsidRPr="009478D3">
        <w:t>The State party cites the Committee’s general comment No. 17 (1989) on ar</w:t>
      </w:r>
      <w:r w:rsidR="00E60B89">
        <w:t xml:space="preserve">ticle 24 (rights of the child). </w:t>
      </w:r>
      <w:r w:rsidR="003B3D73">
        <w:t xml:space="preserve"> </w:t>
      </w:r>
    </w:p>
  </w:footnote>
  <w:footnote w:id="21">
    <w:p w14:paraId="24FC19DE" w14:textId="769EDA7A" w:rsidR="001122E9" w:rsidRPr="009478D3" w:rsidRDefault="009706E3" w:rsidP="009478D3">
      <w:pPr>
        <w:pStyle w:val="FootnoteText"/>
      </w:pPr>
      <w:r>
        <w:tab/>
      </w:r>
      <w:r w:rsidR="001122E9" w:rsidRPr="009706E3">
        <w:rPr>
          <w:rStyle w:val="FootnoteReference"/>
        </w:rPr>
        <w:footnoteRef/>
      </w:r>
      <w:r>
        <w:tab/>
      </w:r>
      <w:r w:rsidR="001122E9" w:rsidRPr="009478D3">
        <w:t xml:space="preserve">The State party cites, inter alia, article 1 of the European Convention on Social and Medical Assistance, and article 1 (1) of Protocol No. 7 to the European Convention for the Protection of Human Rights and Fundamental Freedoms. </w:t>
      </w:r>
    </w:p>
  </w:footnote>
  <w:footnote w:id="22">
    <w:p w14:paraId="2C9E9C6C" w14:textId="0A67CC3E" w:rsidR="001122E9" w:rsidRPr="009478D3" w:rsidRDefault="009706E3" w:rsidP="009706E3">
      <w:pPr>
        <w:pStyle w:val="FootnoteText"/>
      </w:pPr>
      <w:r>
        <w:tab/>
      </w:r>
      <w:r w:rsidR="001122E9" w:rsidRPr="009706E3">
        <w:rPr>
          <w:rStyle w:val="FootnoteReference"/>
        </w:rPr>
        <w:footnoteRef/>
      </w:r>
      <w:r>
        <w:tab/>
      </w:r>
      <w:r w:rsidR="001122E9" w:rsidRPr="009478D3">
        <w:t xml:space="preserve">The State party cites European Court of Human Rights, </w:t>
      </w:r>
      <w:proofErr w:type="spellStart"/>
      <w:r w:rsidR="001122E9" w:rsidRPr="00561E31">
        <w:rPr>
          <w:i/>
        </w:rPr>
        <w:t>Nacić</w:t>
      </w:r>
      <w:proofErr w:type="spellEnd"/>
      <w:r w:rsidR="001122E9" w:rsidRPr="00561E31">
        <w:rPr>
          <w:i/>
        </w:rPr>
        <w:t xml:space="preserve"> and others v. Sweden</w:t>
      </w:r>
      <w:r w:rsidR="001122E9" w:rsidRPr="009478D3">
        <w:t xml:space="preserve"> (application No. 16567/10), judgment of 15 May 2012, </w:t>
      </w:r>
      <w:proofErr w:type="gramStart"/>
      <w:r w:rsidR="001122E9" w:rsidRPr="009478D3">
        <w:t>para</w:t>
      </w:r>
      <w:proofErr w:type="gramEnd"/>
      <w:r w:rsidR="001122E9" w:rsidRPr="009478D3">
        <w:t>. 79.</w:t>
      </w:r>
    </w:p>
  </w:footnote>
  <w:footnote w:id="23">
    <w:p w14:paraId="01427D87" w14:textId="25A3DAB4" w:rsidR="001122E9" w:rsidRPr="009478D3" w:rsidRDefault="001122E9" w:rsidP="009478D3">
      <w:pPr>
        <w:pStyle w:val="FootnoteText"/>
      </w:pPr>
      <w:r>
        <w:tab/>
      </w:r>
      <w:r w:rsidRPr="009706E3">
        <w:rPr>
          <w:rStyle w:val="FootnoteReference"/>
        </w:rPr>
        <w:footnoteRef/>
      </w:r>
      <w:r w:rsidR="009706E3">
        <w:tab/>
      </w:r>
      <w:r w:rsidRPr="009478D3">
        <w:t xml:space="preserve">See general comment No. 17 (1989), para. </w:t>
      </w:r>
      <w:proofErr w:type="gramStart"/>
      <w:r w:rsidRPr="009478D3">
        <w:t>4</w:t>
      </w:r>
      <w:proofErr w:type="gramEnd"/>
      <w:r w:rsidRPr="009478D3">
        <w:t xml:space="preserve">; see also communication No. 400/1990, </w:t>
      </w:r>
      <w:proofErr w:type="spellStart"/>
      <w:r w:rsidRPr="00561E31">
        <w:rPr>
          <w:i/>
        </w:rPr>
        <w:t>Mónaco</w:t>
      </w:r>
      <w:proofErr w:type="spellEnd"/>
      <w:r w:rsidRPr="00561E31">
        <w:rPr>
          <w:i/>
        </w:rPr>
        <w:t xml:space="preserve"> de </w:t>
      </w:r>
      <w:proofErr w:type="spellStart"/>
      <w:r w:rsidRPr="00561E31">
        <w:rPr>
          <w:i/>
        </w:rPr>
        <w:t>Gallicchio</w:t>
      </w:r>
      <w:proofErr w:type="spellEnd"/>
      <w:r w:rsidRPr="00561E31">
        <w:rPr>
          <w:i/>
        </w:rPr>
        <w:t xml:space="preserve"> v. Argentina</w:t>
      </w:r>
      <w:r w:rsidRPr="009478D3">
        <w:t xml:space="preserve">, Views adopted on 3 April 1995, para. 10.5. </w:t>
      </w:r>
      <w:r w:rsidR="003B3D73">
        <w:t xml:space="preserve"> </w:t>
      </w:r>
    </w:p>
  </w:footnote>
  <w:footnote w:id="24">
    <w:p w14:paraId="6ED6648E" w14:textId="0B9D2F73" w:rsidR="001122E9" w:rsidRPr="009478D3" w:rsidRDefault="009706E3" w:rsidP="009478D3">
      <w:pPr>
        <w:pStyle w:val="FootnoteText"/>
      </w:pPr>
      <w:r>
        <w:tab/>
      </w:r>
      <w:r w:rsidR="001122E9" w:rsidRPr="009706E3">
        <w:rPr>
          <w:rStyle w:val="FootnoteReference"/>
        </w:rPr>
        <w:footnoteRef/>
      </w:r>
      <w:r>
        <w:tab/>
      </w:r>
      <w:r w:rsidR="001122E9" w:rsidRPr="009478D3">
        <w:t xml:space="preserve">Communication No. 1069/2002, </w:t>
      </w:r>
      <w:proofErr w:type="spellStart"/>
      <w:r w:rsidR="001122E9" w:rsidRPr="00561E31">
        <w:rPr>
          <w:i/>
        </w:rPr>
        <w:t>Bakhtiyari</w:t>
      </w:r>
      <w:proofErr w:type="spellEnd"/>
      <w:r w:rsidR="001122E9" w:rsidRPr="00561E31">
        <w:rPr>
          <w:i/>
        </w:rPr>
        <w:t xml:space="preserve"> et al. v. Australia</w:t>
      </w:r>
      <w:r w:rsidR="001122E9" w:rsidRPr="009478D3">
        <w:t>, Views adopted on 29 October 2003, para. 9.7</w:t>
      </w:r>
      <w:r w:rsidR="003B3D73">
        <w:t>.</w:t>
      </w:r>
      <w:r w:rsidR="001122E9" w:rsidRPr="009478D3">
        <w:t xml:space="preserve"> </w:t>
      </w:r>
    </w:p>
  </w:footnote>
  <w:footnote w:id="25">
    <w:p w14:paraId="484AB661" w14:textId="3CC71A66" w:rsidR="001122E9" w:rsidRPr="009478D3" w:rsidRDefault="009706E3" w:rsidP="009478D3">
      <w:pPr>
        <w:pStyle w:val="FootnoteText"/>
      </w:pPr>
      <w:r>
        <w:tab/>
      </w:r>
      <w:r w:rsidR="001122E9" w:rsidRPr="009706E3">
        <w:rPr>
          <w:rStyle w:val="FootnoteReference"/>
        </w:rPr>
        <w:footnoteRef/>
      </w:r>
      <w:r w:rsidRPr="009706E3">
        <w:rPr>
          <w:rStyle w:val="FootnoteReference"/>
        </w:rPr>
        <w:tab/>
      </w:r>
      <w:r w:rsidR="001122E9" w:rsidRPr="009478D3">
        <w:t xml:space="preserve">CRC/C/NLD/4 (2013), para. 175. </w:t>
      </w:r>
    </w:p>
  </w:footnote>
  <w:footnote w:id="26">
    <w:p w14:paraId="423E359F" w14:textId="60AC3526" w:rsidR="001122E9" w:rsidRPr="009478D3" w:rsidRDefault="009706E3" w:rsidP="009478D3">
      <w:pPr>
        <w:pStyle w:val="FootnoteText"/>
      </w:pPr>
      <w:r>
        <w:tab/>
      </w:r>
      <w:r w:rsidR="001122E9" w:rsidRPr="009706E3">
        <w:rPr>
          <w:rStyle w:val="FootnoteReference"/>
        </w:rPr>
        <w:footnoteRef/>
      </w:r>
      <w:r>
        <w:tab/>
      </w:r>
      <w:r w:rsidR="001122E9" w:rsidRPr="009478D3">
        <w:t>General comment No. 17 (1989) on article 24 (rights of the child).</w:t>
      </w:r>
    </w:p>
  </w:footnote>
  <w:footnote w:id="27">
    <w:p w14:paraId="53FE812E" w14:textId="40BB3738" w:rsidR="001122E9" w:rsidRPr="009478D3" w:rsidRDefault="009706E3" w:rsidP="009478D3">
      <w:pPr>
        <w:pStyle w:val="FootnoteText"/>
      </w:pPr>
      <w:r>
        <w:tab/>
      </w:r>
      <w:r w:rsidR="001122E9" w:rsidRPr="009706E3">
        <w:rPr>
          <w:rStyle w:val="FootnoteReference"/>
        </w:rPr>
        <w:footnoteRef/>
      </w:r>
      <w:r>
        <w:tab/>
      </w:r>
      <w:r w:rsidR="001122E9" w:rsidRPr="009478D3">
        <w:t xml:space="preserve">See the </w:t>
      </w:r>
      <w:hyperlink r:id="rId1" w:history="1">
        <w:r w:rsidR="001122E9" w:rsidRPr="009478D3">
          <w:rPr>
            <w:rStyle w:val="Hyperlink"/>
          </w:rPr>
          <w:t>website of the government of the Netherlands</w:t>
        </w:r>
      </w:hyperlink>
      <w:r w:rsidR="001122E9" w:rsidRPr="009478D3">
        <w:t xml:space="preserve">, last visited 17 December 2018 (“The government is introducing a procedure for determining statelessness. The procedure </w:t>
      </w:r>
      <w:proofErr w:type="gramStart"/>
      <w:r w:rsidR="001122E9" w:rsidRPr="009478D3">
        <w:t>is meant</w:t>
      </w:r>
      <w:proofErr w:type="gramEnd"/>
      <w:r w:rsidR="001122E9" w:rsidRPr="009478D3">
        <w:t xml:space="preserve"> for individuals who claim to be stateless, but do not have any documents to prove it. They can ask a court </w:t>
      </w:r>
      <w:proofErr w:type="gramStart"/>
      <w:r w:rsidR="001122E9" w:rsidRPr="009478D3">
        <w:t>to officially determine</w:t>
      </w:r>
      <w:proofErr w:type="gramEnd"/>
      <w:r w:rsidR="001122E9" w:rsidRPr="009478D3">
        <w:t xml:space="preserve"> their status. If the court determines they are stateless, they will acquire the rights attached to statelessness.”)</w:t>
      </w:r>
      <w:r w:rsidR="00EC62A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3CBB" w14:textId="53A684F1" w:rsidR="001122E9" w:rsidRPr="00781C83" w:rsidRDefault="00F75C5C" w:rsidP="00F047DF">
    <w:pPr>
      <w:pStyle w:val="Header"/>
    </w:pPr>
    <w:r w:rsidRPr="00F75C5C">
      <w:t>Advance unedited version</w:t>
    </w:r>
    <w:r>
      <w:t xml:space="preserve"> </w:t>
    </w:r>
    <w:r w:rsidR="001122E9">
      <w:t>CCPR</w:t>
    </w:r>
    <w:r w:rsidR="001122E9" w:rsidRPr="00607635">
      <w:t>/C/</w:t>
    </w:r>
    <w:r w:rsidR="001122E9" w:rsidRPr="001103BA">
      <w:t>12</w:t>
    </w:r>
    <w:r w:rsidR="001122E9">
      <w:t>5</w:t>
    </w:r>
    <w:r w:rsidR="001122E9" w:rsidRPr="001103BA">
      <w:t>/D/2</w:t>
    </w:r>
    <w:r w:rsidR="001122E9">
      <w:t>498/2014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CD3A" w14:textId="36470385" w:rsidR="001122E9" w:rsidRPr="00D53077" w:rsidRDefault="00F75C5C">
    <w:pPr>
      <w:pStyle w:val="Header"/>
      <w:jc w:val="right"/>
    </w:pPr>
    <w:r w:rsidRPr="00F75C5C">
      <w:t>Advance unedited version</w:t>
    </w:r>
    <w:r>
      <w:t xml:space="preserve"> </w:t>
    </w:r>
    <w:r w:rsidR="001122E9">
      <w:t>CCPR</w:t>
    </w:r>
    <w:r w:rsidR="001122E9" w:rsidRPr="00607635">
      <w:t>/C/</w:t>
    </w:r>
    <w:r w:rsidR="001122E9" w:rsidRPr="001103BA">
      <w:t>12</w:t>
    </w:r>
    <w:r w:rsidR="001122E9">
      <w:t>5</w:t>
    </w:r>
    <w:r w:rsidR="001122E9" w:rsidRPr="001103BA">
      <w:t>/D/2</w:t>
    </w:r>
    <w:r w:rsidR="001122E9">
      <w:t>498</w:t>
    </w:r>
    <w:r w:rsidR="001122E9" w:rsidRPr="001103BA">
      <w:t>/201</w:t>
    </w:r>
    <w:r w:rsidR="001122E9">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40BE6C42"/>
    <w:multiLevelType w:val="hybridMultilevel"/>
    <w:tmpl w:val="71CAF0DE"/>
    <w:lvl w:ilvl="0" w:tplc="0F72E09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5FDD6931"/>
    <w:multiLevelType w:val="hybridMultilevel"/>
    <w:tmpl w:val="7C1A6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9"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E6208"/>
    <w:multiLevelType w:val="hybridMultilevel"/>
    <w:tmpl w:val="8AAC8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0"/>
  </w:num>
  <w:num w:numId="3">
    <w:abstractNumId w:val="8"/>
  </w:num>
  <w:num w:numId="4">
    <w:abstractNumId w:val="1"/>
  </w:num>
  <w:num w:numId="5">
    <w:abstractNumId w:val="9"/>
  </w:num>
  <w:num w:numId="6">
    <w:abstractNumId w:val="12"/>
  </w:num>
  <w:num w:numId="7">
    <w:abstractNumId w:val="2"/>
  </w:num>
  <w:num w:numId="8">
    <w:abstractNumId w:val="6"/>
  </w:num>
  <w:num w:numId="9">
    <w:abstractNumId w:val="5"/>
  </w:num>
  <w:num w:numId="10">
    <w:abstractNumId w:val="4"/>
  </w:num>
  <w:num w:numId="11">
    <w:abstractNumId w:val="3"/>
  </w:num>
  <w:num w:numId="12">
    <w:abstractNumId w:val="7"/>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871"/>
    <w:rsid w:val="00000DF8"/>
    <w:rsid w:val="00002773"/>
    <w:rsid w:val="00002AAC"/>
    <w:rsid w:val="00002EAE"/>
    <w:rsid w:val="00003CA7"/>
    <w:rsid w:val="000044E2"/>
    <w:rsid w:val="00004919"/>
    <w:rsid w:val="00004BAA"/>
    <w:rsid w:val="00005BD8"/>
    <w:rsid w:val="000062A6"/>
    <w:rsid w:val="00006B88"/>
    <w:rsid w:val="000071E1"/>
    <w:rsid w:val="00007718"/>
    <w:rsid w:val="00007C62"/>
    <w:rsid w:val="00007EAB"/>
    <w:rsid w:val="000110BC"/>
    <w:rsid w:val="000117F3"/>
    <w:rsid w:val="00011892"/>
    <w:rsid w:val="000119FF"/>
    <w:rsid w:val="000128E3"/>
    <w:rsid w:val="000129B0"/>
    <w:rsid w:val="00012A71"/>
    <w:rsid w:val="0001317F"/>
    <w:rsid w:val="000135C3"/>
    <w:rsid w:val="000136CF"/>
    <w:rsid w:val="00013E95"/>
    <w:rsid w:val="0001513B"/>
    <w:rsid w:val="000155D6"/>
    <w:rsid w:val="00015686"/>
    <w:rsid w:val="00015EEC"/>
    <w:rsid w:val="00017767"/>
    <w:rsid w:val="00020404"/>
    <w:rsid w:val="000205BB"/>
    <w:rsid w:val="00020F51"/>
    <w:rsid w:val="00021185"/>
    <w:rsid w:val="00021C46"/>
    <w:rsid w:val="000222FF"/>
    <w:rsid w:val="000227DC"/>
    <w:rsid w:val="00022B1E"/>
    <w:rsid w:val="00022C30"/>
    <w:rsid w:val="00022EB0"/>
    <w:rsid w:val="000235D3"/>
    <w:rsid w:val="00023A16"/>
    <w:rsid w:val="00024133"/>
    <w:rsid w:val="00024432"/>
    <w:rsid w:val="00024E9B"/>
    <w:rsid w:val="00025269"/>
    <w:rsid w:val="00025370"/>
    <w:rsid w:val="000253AE"/>
    <w:rsid w:val="00025418"/>
    <w:rsid w:val="0002563D"/>
    <w:rsid w:val="00025D41"/>
    <w:rsid w:val="00026B06"/>
    <w:rsid w:val="000271EB"/>
    <w:rsid w:val="00027222"/>
    <w:rsid w:val="000272B3"/>
    <w:rsid w:val="000278D3"/>
    <w:rsid w:val="00027A45"/>
    <w:rsid w:val="000312B0"/>
    <w:rsid w:val="00031AF2"/>
    <w:rsid w:val="00031B7C"/>
    <w:rsid w:val="00031D46"/>
    <w:rsid w:val="0003232A"/>
    <w:rsid w:val="00032579"/>
    <w:rsid w:val="00032A3A"/>
    <w:rsid w:val="000336B3"/>
    <w:rsid w:val="0003387B"/>
    <w:rsid w:val="00034B0B"/>
    <w:rsid w:val="00034E12"/>
    <w:rsid w:val="00034E62"/>
    <w:rsid w:val="00035F0E"/>
    <w:rsid w:val="0003612C"/>
    <w:rsid w:val="0003687C"/>
    <w:rsid w:val="00036C7D"/>
    <w:rsid w:val="00036D15"/>
    <w:rsid w:val="00037807"/>
    <w:rsid w:val="00037A03"/>
    <w:rsid w:val="00037AD0"/>
    <w:rsid w:val="00037BBF"/>
    <w:rsid w:val="00037E6C"/>
    <w:rsid w:val="00037FC3"/>
    <w:rsid w:val="0004092D"/>
    <w:rsid w:val="00040945"/>
    <w:rsid w:val="0004142D"/>
    <w:rsid w:val="00041994"/>
    <w:rsid w:val="000419D2"/>
    <w:rsid w:val="00042244"/>
    <w:rsid w:val="000426AA"/>
    <w:rsid w:val="00042808"/>
    <w:rsid w:val="00042BF3"/>
    <w:rsid w:val="00043A97"/>
    <w:rsid w:val="00044035"/>
    <w:rsid w:val="00044324"/>
    <w:rsid w:val="000444E4"/>
    <w:rsid w:val="000444F2"/>
    <w:rsid w:val="0004466E"/>
    <w:rsid w:val="000448FF"/>
    <w:rsid w:val="00044D65"/>
    <w:rsid w:val="00044EE9"/>
    <w:rsid w:val="00044F9A"/>
    <w:rsid w:val="00045360"/>
    <w:rsid w:val="000453F0"/>
    <w:rsid w:val="00045504"/>
    <w:rsid w:val="00045B1F"/>
    <w:rsid w:val="00045EBC"/>
    <w:rsid w:val="00046371"/>
    <w:rsid w:val="0004754D"/>
    <w:rsid w:val="00047D41"/>
    <w:rsid w:val="0005002A"/>
    <w:rsid w:val="000507C4"/>
    <w:rsid w:val="00050F6B"/>
    <w:rsid w:val="00051147"/>
    <w:rsid w:val="00052931"/>
    <w:rsid w:val="0005295F"/>
    <w:rsid w:val="000532E5"/>
    <w:rsid w:val="00053842"/>
    <w:rsid w:val="000538B0"/>
    <w:rsid w:val="00053902"/>
    <w:rsid w:val="0005434B"/>
    <w:rsid w:val="00054855"/>
    <w:rsid w:val="000549B2"/>
    <w:rsid w:val="00055096"/>
    <w:rsid w:val="000553E5"/>
    <w:rsid w:val="00056381"/>
    <w:rsid w:val="000564A0"/>
    <w:rsid w:val="000577FA"/>
    <w:rsid w:val="0005782B"/>
    <w:rsid w:val="00057CC5"/>
    <w:rsid w:val="00057E97"/>
    <w:rsid w:val="00057EC6"/>
    <w:rsid w:val="00057F1A"/>
    <w:rsid w:val="00060074"/>
    <w:rsid w:val="0006056F"/>
    <w:rsid w:val="00060C3A"/>
    <w:rsid w:val="00060F67"/>
    <w:rsid w:val="00061745"/>
    <w:rsid w:val="00062A77"/>
    <w:rsid w:val="00062A7C"/>
    <w:rsid w:val="00062E3A"/>
    <w:rsid w:val="0006377F"/>
    <w:rsid w:val="000638DB"/>
    <w:rsid w:val="00063A61"/>
    <w:rsid w:val="00063B22"/>
    <w:rsid w:val="0006410D"/>
    <w:rsid w:val="0006460B"/>
    <w:rsid w:val="00064F5F"/>
    <w:rsid w:val="00066476"/>
    <w:rsid w:val="00066F8C"/>
    <w:rsid w:val="00066FE5"/>
    <w:rsid w:val="00067250"/>
    <w:rsid w:val="0006794B"/>
    <w:rsid w:val="000679A7"/>
    <w:rsid w:val="0007063E"/>
    <w:rsid w:val="00070685"/>
    <w:rsid w:val="00070D24"/>
    <w:rsid w:val="00071D8F"/>
    <w:rsid w:val="00071FC0"/>
    <w:rsid w:val="000728C4"/>
    <w:rsid w:val="00072A0C"/>
    <w:rsid w:val="00072C8C"/>
    <w:rsid w:val="000730FD"/>
    <w:rsid w:val="000733B5"/>
    <w:rsid w:val="00073D9D"/>
    <w:rsid w:val="00073FF2"/>
    <w:rsid w:val="0007491A"/>
    <w:rsid w:val="00074D32"/>
    <w:rsid w:val="00074D61"/>
    <w:rsid w:val="00075FE9"/>
    <w:rsid w:val="00076155"/>
    <w:rsid w:val="0007628F"/>
    <w:rsid w:val="0007629F"/>
    <w:rsid w:val="000772FF"/>
    <w:rsid w:val="00077727"/>
    <w:rsid w:val="0008135F"/>
    <w:rsid w:val="000816AB"/>
    <w:rsid w:val="00081815"/>
    <w:rsid w:val="0008278D"/>
    <w:rsid w:val="0008317C"/>
    <w:rsid w:val="0008393A"/>
    <w:rsid w:val="0008415F"/>
    <w:rsid w:val="000845E0"/>
    <w:rsid w:val="00084D95"/>
    <w:rsid w:val="000852AE"/>
    <w:rsid w:val="000852CF"/>
    <w:rsid w:val="0008594F"/>
    <w:rsid w:val="0008599C"/>
    <w:rsid w:val="0008661F"/>
    <w:rsid w:val="0008667F"/>
    <w:rsid w:val="0008672E"/>
    <w:rsid w:val="00086CFE"/>
    <w:rsid w:val="000908FA"/>
    <w:rsid w:val="00090B46"/>
    <w:rsid w:val="00090B7D"/>
    <w:rsid w:val="00091C99"/>
    <w:rsid w:val="000920A5"/>
    <w:rsid w:val="000931C0"/>
    <w:rsid w:val="00093243"/>
    <w:rsid w:val="000942A8"/>
    <w:rsid w:val="00094371"/>
    <w:rsid w:val="00094504"/>
    <w:rsid w:val="000947A0"/>
    <w:rsid w:val="000959DA"/>
    <w:rsid w:val="00095A63"/>
    <w:rsid w:val="000970C1"/>
    <w:rsid w:val="000972A1"/>
    <w:rsid w:val="000A056D"/>
    <w:rsid w:val="000A08BC"/>
    <w:rsid w:val="000A0E7B"/>
    <w:rsid w:val="000A2283"/>
    <w:rsid w:val="000A28A8"/>
    <w:rsid w:val="000A3210"/>
    <w:rsid w:val="000A34F4"/>
    <w:rsid w:val="000A35C0"/>
    <w:rsid w:val="000A39D7"/>
    <w:rsid w:val="000A3B73"/>
    <w:rsid w:val="000A4091"/>
    <w:rsid w:val="000A4397"/>
    <w:rsid w:val="000A442E"/>
    <w:rsid w:val="000A4C3D"/>
    <w:rsid w:val="000A4C6E"/>
    <w:rsid w:val="000A50A8"/>
    <w:rsid w:val="000A6139"/>
    <w:rsid w:val="000A6667"/>
    <w:rsid w:val="000A6B47"/>
    <w:rsid w:val="000A7CBE"/>
    <w:rsid w:val="000A7D92"/>
    <w:rsid w:val="000A7FAC"/>
    <w:rsid w:val="000B0AAE"/>
    <w:rsid w:val="000B0E65"/>
    <w:rsid w:val="000B175B"/>
    <w:rsid w:val="000B1788"/>
    <w:rsid w:val="000B2705"/>
    <w:rsid w:val="000B2ED0"/>
    <w:rsid w:val="000B3316"/>
    <w:rsid w:val="000B3505"/>
    <w:rsid w:val="000B3A0F"/>
    <w:rsid w:val="000B42EA"/>
    <w:rsid w:val="000B45AB"/>
    <w:rsid w:val="000B4ECD"/>
    <w:rsid w:val="000B4EF7"/>
    <w:rsid w:val="000B5777"/>
    <w:rsid w:val="000B5CD5"/>
    <w:rsid w:val="000B5CD8"/>
    <w:rsid w:val="000B601C"/>
    <w:rsid w:val="000B62A6"/>
    <w:rsid w:val="000B6B46"/>
    <w:rsid w:val="000B6CA3"/>
    <w:rsid w:val="000B6D1D"/>
    <w:rsid w:val="000B703F"/>
    <w:rsid w:val="000B71A7"/>
    <w:rsid w:val="000B720F"/>
    <w:rsid w:val="000B73DA"/>
    <w:rsid w:val="000B798D"/>
    <w:rsid w:val="000C061B"/>
    <w:rsid w:val="000C0CFF"/>
    <w:rsid w:val="000C175B"/>
    <w:rsid w:val="000C1880"/>
    <w:rsid w:val="000C222B"/>
    <w:rsid w:val="000C2C03"/>
    <w:rsid w:val="000C2D2E"/>
    <w:rsid w:val="000C2E06"/>
    <w:rsid w:val="000C402F"/>
    <w:rsid w:val="000C487F"/>
    <w:rsid w:val="000C6B73"/>
    <w:rsid w:val="000C6F58"/>
    <w:rsid w:val="000C71A2"/>
    <w:rsid w:val="000C735F"/>
    <w:rsid w:val="000C7AFC"/>
    <w:rsid w:val="000C7C97"/>
    <w:rsid w:val="000C7C9A"/>
    <w:rsid w:val="000C7DB5"/>
    <w:rsid w:val="000D0720"/>
    <w:rsid w:val="000D0A22"/>
    <w:rsid w:val="000D0F16"/>
    <w:rsid w:val="000D11D4"/>
    <w:rsid w:val="000D1DC8"/>
    <w:rsid w:val="000D2575"/>
    <w:rsid w:val="000D272D"/>
    <w:rsid w:val="000D2A33"/>
    <w:rsid w:val="000D3278"/>
    <w:rsid w:val="000D351C"/>
    <w:rsid w:val="000D43D5"/>
    <w:rsid w:val="000D4D67"/>
    <w:rsid w:val="000D503F"/>
    <w:rsid w:val="000D5DFF"/>
    <w:rsid w:val="000D676A"/>
    <w:rsid w:val="000D6FAA"/>
    <w:rsid w:val="000D77F1"/>
    <w:rsid w:val="000E0400"/>
    <w:rsid w:val="000E0415"/>
    <w:rsid w:val="000E0712"/>
    <w:rsid w:val="000E0A4F"/>
    <w:rsid w:val="000E0DF9"/>
    <w:rsid w:val="000E10B6"/>
    <w:rsid w:val="000E1D8A"/>
    <w:rsid w:val="000E24AC"/>
    <w:rsid w:val="000E2641"/>
    <w:rsid w:val="000E2B40"/>
    <w:rsid w:val="000E2BAC"/>
    <w:rsid w:val="000E2BE1"/>
    <w:rsid w:val="000E2CDC"/>
    <w:rsid w:val="000E30CE"/>
    <w:rsid w:val="000E3C1A"/>
    <w:rsid w:val="000E3C8B"/>
    <w:rsid w:val="000E42FA"/>
    <w:rsid w:val="000E43D3"/>
    <w:rsid w:val="000E4C93"/>
    <w:rsid w:val="000E4E8B"/>
    <w:rsid w:val="000E536B"/>
    <w:rsid w:val="000E567F"/>
    <w:rsid w:val="000E653A"/>
    <w:rsid w:val="000E68E3"/>
    <w:rsid w:val="000E7797"/>
    <w:rsid w:val="000E7B78"/>
    <w:rsid w:val="000F0168"/>
    <w:rsid w:val="000F03D7"/>
    <w:rsid w:val="000F0B55"/>
    <w:rsid w:val="000F127D"/>
    <w:rsid w:val="000F1BE3"/>
    <w:rsid w:val="000F1CD0"/>
    <w:rsid w:val="000F2D79"/>
    <w:rsid w:val="000F30F4"/>
    <w:rsid w:val="000F3A5A"/>
    <w:rsid w:val="000F4DC2"/>
    <w:rsid w:val="000F4E65"/>
    <w:rsid w:val="000F570E"/>
    <w:rsid w:val="000F5EBC"/>
    <w:rsid w:val="000F64A9"/>
    <w:rsid w:val="000F691C"/>
    <w:rsid w:val="000F6BEA"/>
    <w:rsid w:val="000F76E4"/>
    <w:rsid w:val="000F76FA"/>
    <w:rsid w:val="000F77FC"/>
    <w:rsid w:val="000F7E69"/>
    <w:rsid w:val="00101383"/>
    <w:rsid w:val="00101CC3"/>
    <w:rsid w:val="00102077"/>
    <w:rsid w:val="00102358"/>
    <w:rsid w:val="00102724"/>
    <w:rsid w:val="00102AC0"/>
    <w:rsid w:val="00102C06"/>
    <w:rsid w:val="001037D9"/>
    <w:rsid w:val="0010450A"/>
    <w:rsid w:val="00104601"/>
    <w:rsid w:val="001052D9"/>
    <w:rsid w:val="00106D8E"/>
    <w:rsid w:val="001071F3"/>
    <w:rsid w:val="00107249"/>
    <w:rsid w:val="0010778F"/>
    <w:rsid w:val="001103AA"/>
    <w:rsid w:val="001103BA"/>
    <w:rsid w:val="00110605"/>
    <w:rsid w:val="001111B1"/>
    <w:rsid w:val="00111459"/>
    <w:rsid w:val="0011184E"/>
    <w:rsid w:val="00111A24"/>
    <w:rsid w:val="00111B28"/>
    <w:rsid w:val="001120D8"/>
    <w:rsid w:val="001122E9"/>
    <w:rsid w:val="00112577"/>
    <w:rsid w:val="00112E54"/>
    <w:rsid w:val="00112F9A"/>
    <w:rsid w:val="00113A16"/>
    <w:rsid w:val="00115DDE"/>
    <w:rsid w:val="00116A43"/>
    <w:rsid w:val="00117979"/>
    <w:rsid w:val="00117A20"/>
    <w:rsid w:val="00117EA3"/>
    <w:rsid w:val="00120D2E"/>
    <w:rsid w:val="00121EBF"/>
    <w:rsid w:val="00122017"/>
    <w:rsid w:val="00123048"/>
    <w:rsid w:val="001234CF"/>
    <w:rsid w:val="00123A43"/>
    <w:rsid w:val="00123F4D"/>
    <w:rsid w:val="00124014"/>
    <w:rsid w:val="00124797"/>
    <w:rsid w:val="00124D13"/>
    <w:rsid w:val="001252BD"/>
    <w:rsid w:val="00125565"/>
    <w:rsid w:val="00125C47"/>
    <w:rsid w:val="00125EAC"/>
    <w:rsid w:val="00126373"/>
    <w:rsid w:val="001264E3"/>
    <w:rsid w:val="001265C9"/>
    <w:rsid w:val="00126D30"/>
    <w:rsid w:val="00127E79"/>
    <w:rsid w:val="001306DD"/>
    <w:rsid w:val="00130892"/>
    <w:rsid w:val="00131614"/>
    <w:rsid w:val="0013235B"/>
    <w:rsid w:val="00132765"/>
    <w:rsid w:val="001327FE"/>
    <w:rsid w:val="00132E4D"/>
    <w:rsid w:val="0013313F"/>
    <w:rsid w:val="00133611"/>
    <w:rsid w:val="00134D71"/>
    <w:rsid w:val="00136144"/>
    <w:rsid w:val="00136AD2"/>
    <w:rsid w:val="0013778F"/>
    <w:rsid w:val="0013787B"/>
    <w:rsid w:val="001403BC"/>
    <w:rsid w:val="00140E20"/>
    <w:rsid w:val="00142286"/>
    <w:rsid w:val="00142F51"/>
    <w:rsid w:val="00143165"/>
    <w:rsid w:val="00143729"/>
    <w:rsid w:val="0014476D"/>
    <w:rsid w:val="00144E95"/>
    <w:rsid w:val="001450C9"/>
    <w:rsid w:val="00145970"/>
    <w:rsid w:val="00145FB5"/>
    <w:rsid w:val="0014654B"/>
    <w:rsid w:val="00146DAC"/>
    <w:rsid w:val="001470D8"/>
    <w:rsid w:val="001478E8"/>
    <w:rsid w:val="00150080"/>
    <w:rsid w:val="0015032A"/>
    <w:rsid w:val="00150CA1"/>
    <w:rsid w:val="001512D0"/>
    <w:rsid w:val="001518EE"/>
    <w:rsid w:val="00151A24"/>
    <w:rsid w:val="00151C0B"/>
    <w:rsid w:val="00151C9C"/>
    <w:rsid w:val="00151CC8"/>
    <w:rsid w:val="00151CCD"/>
    <w:rsid w:val="00152F1B"/>
    <w:rsid w:val="00153130"/>
    <w:rsid w:val="001533FB"/>
    <w:rsid w:val="001537B4"/>
    <w:rsid w:val="00153D2E"/>
    <w:rsid w:val="00154C33"/>
    <w:rsid w:val="0015564C"/>
    <w:rsid w:val="00156376"/>
    <w:rsid w:val="00157280"/>
    <w:rsid w:val="001577E4"/>
    <w:rsid w:val="00157DFB"/>
    <w:rsid w:val="00157E96"/>
    <w:rsid w:val="00161364"/>
    <w:rsid w:val="00161524"/>
    <w:rsid w:val="0016165F"/>
    <w:rsid w:val="001619F2"/>
    <w:rsid w:val="00161B02"/>
    <w:rsid w:val="00161D58"/>
    <w:rsid w:val="00162D03"/>
    <w:rsid w:val="0016304A"/>
    <w:rsid w:val="001631E3"/>
    <w:rsid w:val="00163AED"/>
    <w:rsid w:val="00164665"/>
    <w:rsid w:val="001649C8"/>
    <w:rsid w:val="00164E6A"/>
    <w:rsid w:val="00164FB3"/>
    <w:rsid w:val="00165896"/>
    <w:rsid w:val="00165F3A"/>
    <w:rsid w:val="00166101"/>
    <w:rsid w:val="0016612C"/>
    <w:rsid w:val="00166ADA"/>
    <w:rsid w:val="00166C19"/>
    <w:rsid w:val="001672B3"/>
    <w:rsid w:val="001676BD"/>
    <w:rsid w:val="00167A3E"/>
    <w:rsid w:val="00170488"/>
    <w:rsid w:val="00170D9B"/>
    <w:rsid w:val="001711ED"/>
    <w:rsid w:val="00172029"/>
    <w:rsid w:val="0017277A"/>
    <w:rsid w:val="00172AE7"/>
    <w:rsid w:val="00172B2B"/>
    <w:rsid w:val="0017330D"/>
    <w:rsid w:val="00174742"/>
    <w:rsid w:val="00174AC0"/>
    <w:rsid w:val="00174C04"/>
    <w:rsid w:val="001753CD"/>
    <w:rsid w:val="0017551B"/>
    <w:rsid w:val="0017588F"/>
    <w:rsid w:val="00175AC1"/>
    <w:rsid w:val="0017604F"/>
    <w:rsid w:val="00176517"/>
    <w:rsid w:val="0017676A"/>
    <w:rsid w:val="00176A15"/>
    <w:rsid w:val="00176F4B"/>
    <w:rsid w:val="00176FE1"/>
    <w:rsid w:val="00177914"/>
    <w:rsid w:val="00177A2D"/>
    <w:rsid w:val="00177C63"/>
    <w:rsid w:val="00180B70"/>
    <w:rsid w:val="00181187"/>
    <w:rsid w:val="00181B0E"/>
    <w:rsid w:val="0018229F"/>
    <w:rsid w:val="00182914"/>
    <w:rsid w:val="00182A11"/>
    <w:rsid w:val="00182A46"/>
    <w:rsid w:val="00183132"/>
    <w:rsid w:val="00183968"/>
    <w:rsid w:val="00183ED3"/>
    <w:rsid w:val="00184482"/>
    <w:rsid w:val="00184815"/>
    <w:rsid w:val="00185588"/>
    <w:rsid w:val="001862C5"/>
    <w:rsid w:val="00186587"/>
    <w:rsid w:val="001867C1"/>
    <w:rsid w:val="00186800"/>
    <w:rsid w:val="00186D87"/>
    <w:rsid w:val="00186DB6"/>
    <w:rsid w:val="001876D6"/>
    <w:rsid w:val="00187EFF"/>
    <w:rsid w:val="00190085"/>
    <w:rsid w:val="00190171"/>
    <w:rsid w:val="00191267"/>
    <w:rsid w:val="001913E9"/>
    <w:rsid w:val="001918E6"/>
    <w:rsid w:val="00191A7F"/>
    <w:rsid w:val="00192674"/>
    <w:rsid w:val="00192E11"/>
    <w:rsid w:val="001938A4"/>
    <w:rsid w:val="001938AE"/>
    <w:rsid w:val="00193B80"/>
    <w:rsid w:val="00193C99"/>
    <w:rsid w:val="00193DC0"/>
    <w:rsid w:val="00193E54"/>
    <w:rsid w:val="001942AB"/>
    <w:rsid w:val="0019468C"/>
    <w:rsid w:val="0019512B"/>
    <w:rsid w:val="00195286"/>
    <w:rsid w:val="00195FA5"/>
    <w:rsid w:val="001966AA"/>
    <w:rsid w:val="00196CDF"/>
    <w:rsid w:val="00196D8D"/>
    <w:rsid w:val="00197413"/>
    <w:rsid w:val="001975D8"/>
    <w:rsid w:val="00197684"/>
    <w:rsid w:val="001A04EE"/>
    <w:rsid w:val="001A079F"/>
    <w:rsid w:val="001A09DE"/>
    <w:rsid w:val="001A2ABD"/>
    <w:rsid w:val="001A2E0B"/>
    <w:rsid w:val="001A30F9"/>
    <w:rsid w:val="001A33DD"/>
    <w:rsid w:val="001A3653"/>
    <w:rsid w:val="001A3F54"/>
    <w:rsid w:val="001A44F4"/>
    <w:rsid w:val="001A4E3A"/>
    <w:rsid w:val="001A52A9"/>
    <w:rsid w:val="001A57EA"/>
    <w:rsid w:val="001A5C91"/>
    <w:rsid w:val="001A62D6"/>
    <w:rsid w:val="001A660B"/>
    <w:rsid w:val="001A6686"/>
    <w:rsid w:val="001A69D2"/>
    <w:rsid w:val="001A7207"/>
    <w:rsid w:val="001A723C"/>
    <w:rsid w:val="001A73D1"/>
    <w:rsid w:val="001A7ADB"/>
    <w:rsid w:val="001A7AFC"/>
    <w:rsid w:val="001B0987"/>
    <w:rsid w:val="001B1315"/>
    <w:rsid w:val="001B1953"/>
    <w:rsid w:val="001B1EC3"/>
    <w:rsid w:val="001B25B7"/>
    <w:rsid w:val="001B296F"/>
    <w:rsid w:val="001B368C"/>
    <w:rsid w:val="001B3E7B"/>
    <w:rsid w:val="001B3ED0"/>
    <w:rsid w:val="001B4041"/>
    <w:rsid w:val="001B41B8"/>
    <w:rsid w:val="001B4B04"/>
    <w:rsid w:val="001B4E34"/>
    <w:rsid w:val="001B5395"/>
    <w:rsid w:val="001B5F0C"/>
    <w:rsid w:val="001B71F0"/>
    <w:rsid w:val="001B734D"/>
    <w:rsid w:val="001C01C5"/>
    <w:rsid w:val="001C09F8"/>
    <w:rsid w:val="001C0A87"/>
    <w:rsid w:val="001C0C56"/>
    <w:rsid w:val="001C0D6D"/>
    <w:rsid w:val="001C122B"/>
    <w:rsid w:val="001C1351"/>
    <w:rsid w:val="001C1458"/>
    <w:rsid w:val="001C22E4"/>
    <w:rsid w:val="001C276E"/>
    <w:rsid w:val="001C2C75"/>
    <w:rsid w:val="001C2F44"/>
    <w:rsid w:val="001C326D"/>
    <w:rsid w:val="001C3780"/>
    <w:rsid w:val="001C3BC5"/>
    <w:rsid w:val="001C4915"/>
    <w:rsid w:val="001C4D19"/>
    <w:rsid w:val="001C4DA5"/>
    <w:rsid w:val="001C4F97"/>
    <w:rsid w:val="001C51C3"/>
    <w:rsid w:val="001C538B"/>
    <w:rsid w:val="001C540D"/>
    <w:rsid w:val="001C542B"/>
    <w:rsid w:val="001C5EDF"/>
    <w:rsid w:val="001C6016"/>
    <w:rsid w:val="001C6090"/>
    <w:rsid w:val="001C627C"/>
    <w:rsid w:val="001C657F"/>
    <w:rsid w:val="001C6663"/>
    <w:rsid w:val="001C6B90"/>
    <w:rsid w:val="001C7895"/>
    <w:rsid w:val="001D0C8C"/>
    <w:rsid w:val="001D130D"/>
    <w:rsid w:val="001D1C5B"/>
    <w:rsid w:val="001D26DF"/>
    <w:rsid w:val="001D2754"/>
    <w:rsid w:val="001D2861"/>
    <w:rsid w:val="001D2B13"/>
    <w:rsid w:val="001D307C"/>
    <w:rsid w:val="001D3679"/>
    <w:rsid w:val="001D384D"/>
    <w:rsid w:val="001D3A03"/>
    <w:rsid w:val="001D456C"/>
    <w:rsid w:val="001D4937"/>
    <w:rsid w:val="001D4B84"/>
    <w:rsid w:val="001D5A54"/>
    <w:rsid w:val="001D5C81"/>
    <w:rsid w:val="001D6285"/>
    <w:rsid w:val="001D65B6"/>
    <w:rsid w:val="001D6ABA"/>
    <w:rsid w:val="001D6B14"/>
    <w:rsid w:val="001D70D5"/>
    <w:rsid w:val="001D7507"/>
    <w:rsid w:val="001D7937"/>
    <w:rsid w:val="001D7DD3"/>
    <w:rsid w:val="001E017F"/>
    <w:rsid w:val="001E06F0"/>
    <w:rsid w:val="001E0C26"/>
    <w:rsid w:val="001E10EC"/>
    <w:rsid w:val="001E1235"/>
    <w:rsid w:val="001E141A"/>
    <w:rsid w:val="001E148D"/>
    <w:rsid w:val="001E14A9"/>
    <w:rsid w:val="001E165D"/>
    <w:rsid w:val="001E188A"/>
    <w:rsid w:val="001E1EE8"/>
    <w:rsid w:val="001E357C"/>
    <w:rsid w:val="001E369D"/>
    <w:rsid w:val="001E3C2A"/>
    <w:rsid w:val="001E403A"/>
    <w:rsid w:val="001E48A9"/>
    <w:rsid w:val="001E57C2"/>
    <w:rsid w:val="001E68CB"/>
    <w:rsid w:val="001E68DA"/>
    <w:rsid w:val="001E713B"/>
    <w:rsid w:val="001E753D"/>
    <w:rsid w:val="001E78A0"/>
    <w:rsid w:val="001F05DE"/>
    <w:rsid w:val="001F16D2"/>
    <w:rsid w:val="001F1CE9"/>
    <w:rsid w:val="001F2F1F"/>
    <w:rsid w:val="001F3B21"/>
    <w:rsid w:val="001F4102"/>
    <w:rsid w:val="001F430A"/>
    <w:rsid w:val="001F6324"/>
    <w:rsid w:val="001F654F"/>
    <w:rsid w:val="001F6D9F"/>
    <w:rsid w:val="001F7134"/>
    <w:rsid w:val="001F7BD3"/>
    <w:rsid w:val="00200CC4"/>
    <w:rsid w:val="00200DD2"/>
    <w:rsid w:val="002012C3"/>
    <w:rsid w:val="002016E8"/>
    <w:rsid w:val="0020171E"/>
    <w:rsid w:val="002020CF"/>
    <w:rsid w:val="00202DA8"/>
    <w:rsid w:val="00203219"/>
    <w:rsid w:val="00203682"/>
    <w:rsid w:val="00203B90"/>
    <w:rsid w:val="00204BBE"/>
    <w:rsid w:val="0020504F"/>
    <w:rsid w:val="00205A1F"/>
    <w:rsid w:val="002069A2"/>
    <w:rsid w:val="00206C8B"/>
    <w:rsid w:val="00207898"/>
    <w:rsid w:val="002102E3"/>
    <w:rsid w:val="00210A52"/>
    <w:rsid w:val="00210AE2"/>
    <w:rsid w:val="00210CE0"/>
    <w:rsid w:val="00210EDF"/>
    <w:rsid w:val="002117EE"/>
    <w:rsid w:val="00211E0B"/>
    <w:rsid w:val="00211FC1"/>
    <w:rsid w:val="00212AE6"/>
    <w:rsid w:val="00212D40"/>
    <w:rsid w:val="00212F3D"/>
    <w:rsid w:val="002130DF"/>
    <w:rsid w:val="00214B06"/>
    <w:rsid w:val="002151A5"/>
    <w:rsid w:val="00215617"/>
    <w:rsid w:val="00215B27"/>
    <w:rsid w:val="00216FE2"/>
    <w:rsid w:val="0021780E"/>
    <w:rsid w:val="002179B3"/>
    <w:rsid w:val="00217D4E"/>
    <w:rsid w:val="00217DDD"/>
    <w:rsid w:val="002203BD"/>
    <w:rsid w:val="002204E8"/>
    <w:rsid w:val="00222DFC"/>
    <w:rsid w:val="00222ED6"/>
    <w:rsid w:val="00223D20"/>
    <w:rsid w:val="00223F8B"/>
    <w:rsid w:val="0022501D"/>
    <w:rsid w:val="002250F4"/>
    <w:rsid w:val="0022569B"/>
    <w:rsid w:val="0022665C"/>
    <w:rsid w:val="00226D7E"/>
    <w:rsid w:val="00226E76"/>
    <w:rsid w:val="00226F53"/>
    <w:rsid w:val="00227BD1"/>
    <w:rsid w:val="00227F84"/>
    <w:rsid w:val="002301A0"/>
    <w:rsid w:val="00230B82"/>
    <w:rsid w:val="002310A9"/>
    <w:rsid w:val="002313C7"/>
    <w:rsid w:val="002316DD"/>
    <w:rsid w:val="00231ACC"/>
    <w:rsid w:val="00231C9F"/>
    <w:rsid w:val="0023210C"/>
    <w:rsid w:val="00232424"/>
    <w:rsid w:val="00232832"/>
    <w:rsid w:val="00232D9D"/>
    <w:rsid w:val="00232E43"/>
    <w:rsid w:val="002330C5"/>
    <w:rsid w:val="0023320D"/>
    <w:rsid w:val="0023342A"/>
    <w:rsid w:val="002334D2"/>
    <w:rsid w:val="00233B3C"/>
    <w:rsid w:val="00233C4D"/>
    <w:rsid w:val="002346AE"/>
    <w:rsid w:val="00234746"/>
    <w:rsid w:val="00234A95"/>
    <w:rsid w:val="0023534E"/>
    <w:rsid w:val="0023544C"/>
    <w:rsid w:val="002366E7"/>
    <w:rsid w:val="00236D66"/>
    <w:rsid w:val="002410A4"/>
    <w:rsid w:val="00242291"/>
    <w:rsid w:val="00242D8A"/>
    <w:rsid w:val="00243183"/>
    <w:rsid w:val="00243DD1"/>
    <w:rsid w:val="00243F0A"/>
    <w:rsid w:val="00244127"/>
    <w:rsid w:val="00244A3A"/>
    <w:rsid w:val="00244A62"/>
    <w:rsid w:val="00244EDE"/>
    <w:rsid w:val="00244F33"/>
    <w:rsid w:val="002450F8"/>
    <w:rsid w:val="002460A0"/>
    <w:rsid w:val="00246551"/>
    <w:rsid w:val="00246A16"/>
    <w:rsid w:val="002475B1"/>
    <w:rsid w:val="00252170"/>
    <w:rsid w:val="00252FF7"/>
    <w:rsid w:val="00253E54"/>
    <w:rsid w:val="00255AB8"/>
    <w:rsid w:val="00255FAA"/>
    <w:rsid w:val="002560C0"/>
    <w:rsid w:val="002569AF"/>
    <w:rsid w:val="0025725A"/>
    <w:rsid w:val="00257593"/>
    <w:rsid w:val="00260463"/>
    <w:rsid w:val="00260575"/>
    <w:rsid w:val="0026059C"/>
    <w:rsid w:val="002605A8"/>
    <w:rsid w:val="00260791"/>
    <w:rsid w:val="00260D1D"/>
    <w:rsid w:val="002614DD"/>
    <w:rsid w:val="00261F5D"/>
    <w:rsid w:val="0026204E"/>
    <w:rsid w:val="00262E67"/>
    <w:rsid w:val="002632E7"/>
    <w:rsid w:val="0026350D"/>
    <w:rsid w:val="00263B3B"/>
    <w:rsid w:val="00263C60"/>
    <w:rsid w:val="002641EF"/>
    <w:rsid w:val="0026447F"/>
    <w:rsid w:val="00264CD2"/>
    <w:rsid w:val="002652CE"/>
    <w:rsid w:val="00265893"/>
    <w:rsid w:val="00266485"/>
    <w:rsid w:val="00266A73"/>
    <w:rsid w:val="00267449"/>
    <w:rsid w:val="00267CEE"/>
    <w:rsid w:val="00267EF5"/>
    <w:rsid w:val="00267F5F"/>
    <w:rsid w:val="002708B5"/>
    <w:rsid w:val="00270D81"/>
    <w:rsid w:val="00270F02"/>
    <w:rsid w:val="002710E8"/>
    <w:rsid w:val="0027119A"/>
    <w:rsid w:val="0027131E"/>
    <w:rsid w:val="00271B01"/>
    <w:rsid w:val="002724BE"/>
    <w:rsid w:val="00272CAF"/>
    <w:rsid w:val="002743EE"/>
    <w:rsid w:val="002744F0"/>
    <w:rsid w:val="0027450A"/>
    <w:rsid w:val="002749D0"/>
    <w:rsid w:val="002750C3"/>
    <w:rsid w:val="0027570D"/>
    <w:rsid w:val="002767FA"/>
    <w:rsid w:val="00280D66"/>
    <w:rsid w:val="00281129"/>
    <w:rsid w:val="0028164E"/>
    <w:rsid w:val="002824C8"/>
    <w:rsid w:val="00282E13"/>
    <w:rsid w:val="002834E0"/>
    <w:rsid w:val="002837E9"/>
    <w:rsid w:val="00284203"/>
    <w:rsid w:val="002845FD"/>
    <w:rsid w:val="002847D5"/>
    <w:rsid w:val="00285B1A"/>
    <w:rsid w:val="00285BC8"/>
    <w:rsid w:val="0028645E"/>
    <w:rsid w:val="00286B4D"/>
    <w:rsid w:val="00290012"/>
    <w:rsid w:val="00290E28"/>
    <w:rsid w:val="00290F51"/>
    <w:rsid w:val="002915AF"/>
    <w:rsid w:val="002915E7"/>
    <w:rsid w:val="00292EF5"/>
    <w:rsid w:val="002936DB"/>
    <w:rsid w:val="00294B9B"/>
    <w:rsid w:val="00294D10"/>
    <w:rsid w:val="002953B0"/>
    <w:rsid w:val="002953DE"/>
    <w:rsid w:val="002955C9"/>
    <w:rsid w:val="00295CA0"/>
    <w:rsid w:val="0029657C"/>
    <w:rsid w:val="00296971"/>
    <w:rsid w:val="002974A6"/>
    <w:rsid w:val="002A03BE"/>
    <w:rsid w:val="002A067B"/>
    <w:rsid w:val="002A077E"/>
    <w:rsid w:val="002A15E9"/>
    <w:rsid w:val="002A239B"/>
    <w:rsid w:val="002A2577"/>
    <w:rsid w:val="002A2F36"/>
    <w:rsid w:val="002A35CF"/>
    <w:rsid w:val="002A3879"/>
    <w:rsid w:val="002A405E"/>
    <w:rsid w:val="002A4577"/>
    <w:rsid w:val="002A483D"/>
    <w:rsid w:val="002A4BED"/>
    <w:rsid w:val="002A5C79"/>
    <w:rsid w:val="002A5E37"/>
    <w:rsid w:val="002A69E1"/>
    <w:rsid w:val="002A6BD7"/>
    <w:rsid w:val="002B0B9B"/>
    <w:rsid w:val="002B0D64"/>
    <w:rsid w:val="002B1DA8"/>
    <w:rsid w:val="002B20AA"/>
    <w:rsid w:val="002B29BD"/>
    <w:rsid w:val="002B2C98"/>
    <w:rsid w:val="002B3574"/>
    <w:rsid w:val="002B3F1E"/>
    <w:rsid w:val="002B4AC8"/>
    <w:rsid w:val="002B56E0"/>
    <w:rsid w:val="002B5945"/>
    <w:rsid w:val="002B68D9"/>
    <w:rsid w:val="002B6C74"/>
    <w:rsid w:val="002B72D3"/>
    <w:rsid w:val="002B7745"/>
    <w:rsid w:val="002B7802"/>
    <w:rsid w:val="002C032D"/>
    <w:rsid w:val="002C1FE5"/>
    <w:rsid w:val="002C2614"/>
    <w:rsid w:val="002C2751"/>
    <w:rsid w:val="002C32E4"/>
    <w:rsid w:val="002C3C84"/>
    <w:rsid w:val="002C3D3F"/>
    <w:rsid w:val="002C3DED"/>
    <w:rsid w:val="002C4126"/>
    <w:rsid w:val="002C4146"/>
    <w:rsid w:val="002C448F"/>
    <w:rsid w:val="002C4B41"/>
    <w:rsid w:val="002C4E74"/>
    <w:rsid w:val="002C5B0B"/>
    <w:rsid w:val="002C5BCD"/>
    <w:rsid w:val="002C5E86"/>
    <w:rsid w:val="002C5F0A"/>
    <w:rsid w:val="002C7022"/>
    <w:rsid w:val="002C7987"/>
    <w:rsid w:val="002D09B5"/>
    <w:rsid w:val="002D0D60"/>
    <w:rsid w:val="002D0F50"/>
    <w:rsid w:val="002D164D"/>
    <w:rsid w:val="002D2544"/>
    <w:rsid w:val="002D26DD"/>
    <w:rsid w:val="002D2E7A"/>
    <w:rsid w:val="002D3243"/>
    <w:rsid w:val="002D3AF5"/>
    <w:rsid w:val="002D3F41"/>
    <w:rsid w:val="002D403E"/>
    <w:rsid w:val="002D457A"/>
    <w:rsid w:val="002D46DB"/>
    <w:rsid w:val="002D4D33"/>
    <w:rsid w:val="002D50F5"/>
    <w:rsid w:val="002D5335"/>
    <w:rsid w:val="002D5ECE"/>
    <w:rsid w:val="002D6408"/>
    <w:rsid w:val="002D6DFF"/>
    <w:rsid w:val="002D6E06"/>
    <w:rsid w:val="002D6F2C"/>
    <w:rsid w:val="002D75D6"/>
    <w:rsid w:val="002D7AEC"/>
    <w:rsid w:val="002E0380"/>
    <w:rsid w:val="002E127F"/>
    <w:rsid w:val="002E1323"/>
    <w:rsid w:val="002E15E8"/>
    <w:rsid w:val="002E1D61"/>
    <w:rsid w:val="002E2687"/>
    <w:rsid w:val="002E2753"/>
    <w:rsid w:val="002E2BBC"/>
    <w:rsid w:val="002E338E"/>
    <w:rsid w:val="002E33C5"/>
    <w:rsid w:val="002E3533"/>
    <w:rsid w:val="002E36F8"/>
    <w:rsid w:val="002E3F6D"/>
    <w:rsid w:val="002E431D"/>
    <w:rsid w:val="002E4617"/>
    <w:rsid w:val="002E4AD6"/>
    <w:rsid w:val="002E5AF7"/>
    <w:rsid w:val="002E5B76"/>
    <w:rsid w:val="002F0135"/>
    <w:rsid w:val="002F039C"/>
    <w:rsid w:val="002F053D"/>
    <w:rsid w:val="002F14BF"/>
    <w:rsid w:val="002F14CA"/>
    <w:rsid w:val="002F1669"/>
    <w:rsid w:val="002F175C"/>
    <w:rsid w:val="002F18F8"/>
    <w:rsid w:val="002F1B26"/>
    <w:rsid w:val="002F23CA"/>
    <w:rsid w:val="002F28DC"/>
    <w:rsid w:val="002F3039"/>
    <w:rsid w:val="002F487A"/>
    <w:rsid w:val="002F4D87"/>
    <w:rsid w:val="002F4E01"/>
    <w:rsid w:val="002F5DCB"/>
    <w:rsid w:val="002F61C2"/>
    <w:rsid w:val="002F709A"/>
    <w:rsid w:val="002F75AA"/>
    <w:rsid w:val="002F772E"/>
    <w:rsid w:val="002F781E"/>
    <w:rsid w:val="0030033B"/>
    <w:rsid w:val="00300947"/>
    <w:rsid w:val="00300C04"/>
    <w:rsid w:val="00300D7D"/>
    <w:rsid w:val="00300FEE"/>
    <w:rsid w:val="00301072"/>
    <w:rsid w:val="0030138D"/>
    <w:rsid w:val="0030174E"/>
    <w:rsid w:val="00301780"/>
    <w:rsid w:val="003017E1"/>
    <w:rsid w:val="00301BD4"/>
    <w:rsid w:val="00301E0F"/>
    <w:rsid w:val="00302727"/>
    <w:rsid w:val="003031E3"/>
    <w:rsid w:val="00303354"/>
    <w:rsid w:val="00303F76"/>
    <w:rsid w:val="003043C6"/>
    <w:rsid w:val="0030479C"/>
    <w:rsid w:val="00304880"/>
    <w:rsid w:val="003049D4"/>
    <w:rsid w:val="003056A7"/>
    <w:rsid w:val="00306124"/>
    <w:rsid w:val="003067AC"/>
    <w:rsid w:val="00310D41"/>
    <w:rsid w:val="00310E7B"/>
    <w:rsid w:val="00310F2C"/>
    <w:rsid w:val="00311059"/>
    <w:rsid w:val="00311BCE"/>
    <w:rsid w:val="00311C20"/>
    <w:rsid w:val="003121AA"/>
    <w:rsid w:val="003121FB"/>
    <w:rsid w:val="00312909"/>
    <w:rsid w:val="003129E6"/>
    <w:rsid w:val="00313592"/>
    <w:rsid w:val="003141A0"/>
    <w:rsid w:val="00314816"/>
    <w:rsid w:val="00314944"/>
    <w:rsid w:val="00314A18"/>
    <w:rsid w:val="00314A97"/>
    <w:rsid w:val="0031506A"/>
    <w:rsid w:val="00317326"/>
    <w:rsid w:val="0031790F"/>
    <w:rsid w:val="00317DF3"/>
    <w:rsid w:val="00317EA3"/>
    <w:rsid w:val="003202BC"/>
    <w:rsid w:val="00320E07"/>
    <w:rsid w:val="0032142D"/>
    <w:rsid w:val="003215DD"/>
    <w:rsid w:val="0032189D"/>
    <w:rsid w:val="003220F0"/>
    <w:rsid w:val="0032239F"/>
    <w:rsid w:val="003229D8"/>
    <w:rsid w:val="0032348D"/>
    <w:rsid w:val="00323866"/>
    <w:rsid w:val="00323A2B"/>
    <w:rsid w:val="00323F4A"/>
    <w:rsid w:val="00324767"/>
    <w:rsid w:val="00324B18"/>
    <w:rsid w:val="00325173"/>
    <w:rsid w:val="00325620"/>
    <w:rsid w:val="00325CE8"/>
    <w:rsid w:val="00326293"/>
    <w:rsid w:val="003272D8"/>
    <w:rsid w:val="00327502"/>
    <w:rsid w:val="003278E0"/>
    <w:rsid w:val="00330269"/>
    <w:rsid w:val="003305AF"/>
    <w:rsid w:val="00330B1A"/>
    <w:rsid w:val="003310D9"/>
    <w:rsid w:val="0033172D"/>
    <w:rsid w:val="00331781"/>
    <w:rsid w:val="00331D53"/>
    <w:rsid w:val="00332421"/>
    <w:rsid w:val="00332D5C"/>
    <w:rsid w:val="003331C8"/>
    <w:rsid w:val="003335F5"/>
    <w:rsid w:val="00333921"/>
    <w:rsid w:val="00333AA0"/>
    <w:rsid w:val="00333CC4"/>
    <w:rsid w:val="00334357"/>
    <w:rsid w:val="00334BD0"/>
    <w:rsid w:val="0033537F"/>
    <w:rsid w:val="003359B7"/>
    <w:rsid w:val="00335D6C"/>
    <w:rsid w:val="00335D99"/>
    <w:rsid w:val="00336D05"/>
    <w:rsid w:val="00336FB0"/>
    <w:rsid w:val="00337189"/>
    <w:rsid w:val="00337293"/>
    <w:rsid w:val="003372DD"/>
    <w:rsid w:val="003374C4"/>
    <w:rsid w:val="0033763F"/>
    <w:rsid w:val="00340532"/>
    <w:rsid w:val="003414A0"/>
    <w:rsid w:val="00341742"/>
    <w:rsid w:val="00341C7D"/>
    <w:rsid w:val="00342D6C"/>
    <w:rsid w:val="00344260"/>
    <w:rsid w:val="00344ECD"/>
    <w:rsid w:val="00345012"/>
    <w:rsid w:val="003453FD"/>
    <w:rsid w:val="00345443"/>
    <w:rsid w:val="003456FC"/>
    <w:rsid w:val="00345B5B"/>
    <w:rsid w:val="003461EF"/>
    <w:rsid w:val="003464C6"/>
    <w:rsid w:val="003467FE"/>
    <w:rsid w:val="00346980"/>
    <w:rsid w:val="003474A3"/>
    <w:rsid w:val="00347F12"/>
    <w:rsid w:val="00350385"/>
    <w:rsid w:val="003503C4"/>
    <w:rsid w:val="003507D3"/>
    <w:rsid w:val="00351167"/>
    <w:rsid w:val="0035210A"/>
    <w:rsid w:val="00352709"/>
    <w:rsid w:val="00352CD9"/>
    <w:rsid w:val="00352D2B"/>
    <w:rsid w:val="00352E79"/>
    <w:rsid w:val="00353842"/>
    <w:rsid w:val="003540E4"/>
    <w:rsid w:val="00354AA8"/>
    <w:rsid w:val="00354B3F"/>
    <w:rsid w:val="00354CDE"/>
    <w:rsid w:val="00355AD9"/>
    <w:rsid w:val="00355BB0"/>
    <w:rsid w:val="00355BD5"/>
    <w:rsid w:val="00355E61"/>
    <w:rsid w:val="00356255"/>
    <w:rsid w:val="00356500"/>
    <w:rsid w:val="00356DAD"/>
    <w:rsid w:val="00360157"/>
    <w:rsid w:val="00361BD0"/>
    <w:rsid w:val="0036213E"/>
    <w:rsid w:val="0036249D"/>
    <w:rsid w:val="00362869"/>
    <w:rsid w:val="00362F0A"/>
    <w:rsid w:val="003634F2"/>
    <w:rsid w:val="00363D5A"/>
    <w:rsid w:val="00363EA3"/>
    <w:rsid w:val="00363F45"/>
    <w:rsid w:val="003652A0"/>
    <w:rsid w:val="003652BE"/>
    <w:rsid w:val="00365AB4"/>
    <w:rsid w:val="003661AB"/>
    <w:rsid w:val="0036645D"/>
    <w:rsid w:val="00366779"/>
    <w:rsid w:val="003669CB"/>
    <w:rsid w:val="00367567"/>
    <w:rsid w:val="00370093"/>
    <w:rsid w:val="003705C9"/>
    <w:rsid w:val="00371178"/>
    <w:rsid w:val="003712AE"/>
    <w:rsid w:val="003712EE"/>
    <w:rsid w:val="003719B4"/>
    <w:rsid w:val="0037204F"/>
    <w:rsid w:val="003721BC"/>
    <w:rsid w:val="00372E2F"/>
    <w:rsid w:val="003730DD"/>
    <w:rsid w:val="00374433"/>
    <w:rsid w:val="00374609"/>
    <w:rsid w:val="0037553C"/>
    <w:rsid w:val="00375544"/>
    <w:rsid w:val="00377322"/>
    <w:rsid w:val="0037738E"/>
    <w:rsid w:val="00377E43"/>
    <w:rsid w:val="0038112B"/>
    <w:rsid w:val="00381975"/>
    <w:rsid w:val="00381A33"/>
    <w:rsid w:val="003821D3"/>
    <w:rsid w:val="003827ED"/>
    <w:rsid w:val="00382910"/>
    <w:rsid w:val="00382981"/>
    <w:rsid w:val="00382CE3"/>
    <w:rsid w:val="0038336C"/>
    <w:rsid w:val="00383635"/>
    <w:rsid w:val="00383E50"/>
    <w:rsid w:val="00383F4C"/>
    <w:rsid w:val="00383F7E"/>
    <w:rsid w:val="0038593A"/>
    <w:rsid w:val="00386A7B"/>
    <w:rsid w:val="00386AC2"/>
    <w:rsid w:val="00386DEE"/>
    <w:rsid w:val="00386EF5"/>
    <w:rsid w:val="003871ED"/>
    <w:rsid w:val="0038742E"/>
    <w:rsid w:val="003878E2"/>
    <w:rsid w:val="00391610"/>
    <w:rsid w:val="003917DA"/>
    <w:rsid w:val="00391810"/>
    <w:rsid w:val="00391AD8"/>
    <w:rsid w:val="0039221D"/>
    <w:rsid w:val="00392340"/>
    <w:rsid w:val="0039262B"/>
    <w:rsid w:val="00392A35"/>
    <w:rsid w:val="00393637"/>
    <w:rsid w:val="00393666"/>
    <w:rsid w:val="003939EA"/>
    <w:rsid w:val="00393B50"/>
    <w:rsid w:val="0039427F"/>
    <w:rsid w:val="003942F0"/>
    <w:rsid w:val="003946AE"/>
    <w:rsid w:val="00394A4C"/>
    <w:rsid w:val="00395395"/>
    <w:rsid w:val="0039556A"/>
    <w:rsid w:val="00396BAE"/>
    <w:rsid w:val="00396EE7"/>
    <w:rsid w:val="00396FA6"/>
    <w:rsid w:val="00397223"/>
    <w:rsid w:val="003973D0"/>
    <w:rsid w:val="00397EBE"/>
    <w:rsid w:val="00397ED0"/>
    <w:rsid w:val="00397FA9"/>
    <w:rsid w:val="003A087F"/>
    <w:rsid w:val="003A0984"/>
    <w:rsid w:val="003A1602"/>
    <w:rsid w:val="003A1675"/>
    <w:rsid w:val="003A22FB"/>
    <w:rsid w:val="003A2525"/>
    <w:rsid w:val="003A257A"/>
    <w:rsid w:val="003A278A"/>
    <w:rsid w:val="003A2DE0"/>
    <w:rsid w:val="003A37BE"/>
    <w:rsid w:val="003A3C43"/>
    <w:rsid w:val="003A44EC"/>
    <w:rsid w:val="003A5830"/>
    <w:rsid w:val="003A595E"/>
    <w:rsid w:val="003A5C05"/>
    <w:rsid w:val="003A6027"/>
    <w:rsid w:val="003A6552"/>
    <w:rsid w:val="003A6810"/>
    <w:rsid w:val="003A6BB4"/>
    <w:rsid w:val="003B0996"/>
    <w:rsid w:val="003B1564"/>
    <w:rsid w:val="003B1C31"/>
    <w:rsid w:val="003B1E4F"/>
    <w:rsid w:val="003B2774"/>
    <w:rsid w:val="003B29D6"/>
    <w:rsid w:val="003B3479"/>
    <w:rsid w:val="003B3D73"/>
    <w:rsid w:val="003B483A"/>
    <w:rsid w:val="003B4890"/>
    <w:rsid w:val="003B5112"/>
    <w:rsid w:val="003B59A7"/>
    <w:rsid w:val="003B59D4"/>
    <w:rsid w:val="003B6175"/>
    <w:rsid w:val="003B6247"/>
    <w:rsid w:val="003B6428"/>
    <w:rsid w:val="003B6905"/>
    <w:rsid w:val="003B7BEB"/>
    <w:rsid w:val="003B7EDC"/>
    <w:rsid w:val="003C02AB"/>
    <w:rsid w:val="003C0D23"/>
    <w:rsid w:val="003C12C4"/>
    <w:rsid w:val="003C21CC"/>
    <w:rsid w:val="003C28D4"/>
    <w:rsid w:val="003C2CC4"/>
    <w:rsid w:val="003C2DE1"/>
    <w:rsid w:val="003C3621"/>
    <w:rsid w:val="003C386C"/>
    <w:rsid w:val="003C3A96"/>
    <w:rsid w:val="003C4DEF"/>
    <w:rsid w:val="003C595C"/>
    <w:rsid w:val="003C5D70"/>
    <w:rsid w:val="003C5D94"/>
    <w:rsid w:val="003C65D5"/>
    <w:rsid w:val="003C6E8A"/>
    <w:rsid w:val="003D0290"/>
    <w:rsid w:val="003D0532"/>
    <w:rsid w:val="003D083F"/>
    <w:rsid w:val="003D0CA2"/>
    <w:rsid w:val="003D0F0A"/>
    <w:rsid w:val="003D1298"/>
    <w:rsid w:val="003D1310"/>
    <w:rsid w:val="003D13F2"/>
    <w:rsid w:val="003D15C1"/>
    <w:rsid w:val="003D1950"/>
    <w:rsid w:val="003D3010"/>
    <w:rsid w:val="003D3157"/>
    <w:rsid w:val="003D3386"/>
    <w:rsid w:val="003D36C1"/>
    <w:rsid w:val="003D3CF9"/>
    <w:rsid w:val="003D4143"/>
    <w:rsid w:val="003D4794"/>
    <w:rsid w:val="003D4B23"/>
    <w:rsid w:val="003D4DB3"/>
    <w:rsid w:val="003D628A"/>
    <w:rsid w:val="003D6AA5"/>
    <w:rsid w:val="003D6B30"/>
    <w:rsid w:val="003D6E0F"/>
    <w:rsid w:val="003E039F"/>
    <w:rsid w:val="003E0E94"/>
    <w:rsid w:val="003E0EE1"/>
    <w:rsid w:val="003E1596"/>
    <w:rsid w:val="003E16A4"/>
    <w:rsid w:val="003E1A31"/>
    <w:rsid w:val="003E1C43"/>
    <w:rsid w:val="003E219E"/>
    <w:rsid w:val="003E2351"/>
    <w:rsid w:val="003E3CF4"/>
    <w:rsid w:val="003E4563"/>
    <w:rsid w:val="003E4CB5"/>
    <w:rsid w:val="003E5424"/>
    <w:rsid w:val="003E64CC"/>
    <w:rsid w:val="003E64DE"/>
    <w:rsid w:val="003E660E"/>
    <w:rsid w:val="003E6942"/>
    <w:rsid w:val="003E69E8"/>
    <w:rsid w:val="003E6D09"/>
    <w:rsid w:val="003E6F7E"/>
    <w:rsid w:val="003E723E"/>
    <w:rsid w:val="003F04BC"/>
    <w:rsid w:val="003F0F34"/>
    <w:rsid w:val="003F11C2"/>
    <w:rsid w:val="003F2E64"/>
    <w:rsid w:val="003F4070"/>
    <w:rsid w:val="003F45FA"/>
    <w:rsid w:val="003F4895"/>
    <w:rsid w:val="003F567F"/>
    <w:rsid w:val="003F6B53"/>
    <w:rsid w:val="00400413"/>
    <w:rsid w:val="00400ACF"/>
    <w:rsid w:val="004010B0"/>
    <w:rsid w:val="00401432"/>
    <w:rsid w:val="00401BF0"/>
    <w:rsid w:val="00402458"/>
    <w:rsid w:val="00402740"/>
    <w:rsid w:val="00403387"/>
    <w:rsid w:val="0040346A"/>
    <w:rsid w:val="0040413A"/>
    <w:rsid w:val="004048D6"/>
    <w:rsid w:val="004050B9"/>
    <w:rsid w:val="0040520B"/>
    <w:rsid w:val="00405473"/>
    <w:rsid w:val="00405E80"/>
    <w:rsid w:val="0040666F"/>
    <w:rsid w:val="0040667C"/>
    <w:rsid w:val="00407F9B"/>
    <w:rsid w:val="0041050D"/>
    <w:rsid w:val="004107E1"/>
    <w:rsid w:val="00410C89"/>
    <w:rsid w:val="00410CB1"/>
    <w:rsid w:val="00410FB0"/>
    <w:rsid w:val="0041293B"/>
    <w:rsid w:val="00412A50"/>
    <w:rsid w:val="004134F2"/>
    <w:rsid w:val="00413F6B"/>
    <w:rsid w:val="004145C0"/>
    <w:rsid w:val="004147D4"/>
    <w:rsid w:val="00414931"/>
    <w:rsid w:val="00414B35"/>
    <w:rsid w:val="00414C38"/>
    <w:rsid w:val="0041502D"/>
    <w:rsid w:val="00415B1A"/>
    <w:rsid w:val="00415C77"/>
    <w:rsid w:val="00416E17"/>
    <w:rsid w:val="00417FF8"/>
    <w:rsid w:val="00420284"/>
    <w:rsid w:val="00420340"/>
    <w:rsid w:val="0042058B"/>
    <w:rsid w:val="00421154"/>
    <w:rsid w:val="00421C80"/>
    <w:rsid w:val="00423111"/>
    <w:rsid w:val="004243CD"/>
    <w:rsid w:val="00424479"/>
    <w:rsid w:val="004246D5"/>
    <w:rsid w:val="0042481D"/>
    <w:rsid w:val="00424AD8"/>
    <w:rsid w:val="00424B87"/>
    <w:rsid w:val="00425423"/>
    <w:rsid w:val="00425F47"/>
    <w:rsid w:val="0042621F"/>
    <w:rsid w:val="004264D2"/>
    <w:rsid w:val="004265CF"/>
    <w:rsid w:val="004266DE"/>
    <w:rsid w:val="0042683E"/>
    <w:rsid w:val="00426B9B"/>
    <w:rsid w:val="00426C68"/>
    <w:rsid w:val="0042792C"/>
    <w:rsid w:val="004303BD"/>
    <w:rsid w:val="00430BA6"/>
    <w:rsid w:val="00430F1B"/>
    <w:rsid w:val="00431101"/>
    <w:rsid w:val="004312D4"/>
    <w:rsid w:val="00431428"/>
    <w:rsid w:val="00431FE1"/>
    <w:rsid w:val="004325CB"/>
    <w:rsid w:val="00432EA3"/>
    <w:rsid w:val="004330E7"/>
    <w:rsid w:val="004331A3"/>
    <w:rsid w:val="004339E7"/>
    <w:rsid w:val="0043415E"/>
    <w:rsid w:val="00434349"/>
    <w:rsid w:val="004346B9"/>
    <w:rsid w:val="004347DA"/>
    <w:rsid w:val="00434B62"/>
    <w:rsid w:val="0043554F"/>
    <w:rsid w:val="0043559E"/>
    <w:rsid w:val="00435D83"/>
    <w:rsid w:val="00436142"/>
    <w:rsid w:val="004365BC"/>
    <w:rsid w:val="0043698B"/>
    <w:rsid w:val="00436B33"/>
    <w:rsid w:val="00437AB2"/>
    <w:rsid w:val="00437E26"/>
    <w:rsid w:val="00440DDF"/>
    <w:rsid w:val="00440F61"/>
    <w:rsid w:val="004411C6"/>
    <w:rsid w:val="0044155F"/>
    <w:rsid w:val="00441FA2"/>
    <w:rsid w:val="00442A83"/>
    <w:rsid w:val="00442E22"/>
    <w:rsid w:val="00442FBC"/>
    <w:rsid w:val="004430E8"/>
    <w:rsid w:val="00443928"/>
    <w:rsid w:val="00444318"/>
    <w:rsid w:val="00444333"/>
    <w:rsid w:val="00445701"/>
    <w:rsid w:val="004464F5"/>
    <w:rsid w:val="00446827"/>
    <w:rsid w:val="00446B59"/>
    <w:rsid w:val="00446B75"/>
    <w:rsid w:val="00447AB0"/>
    <w:rsid w:val="004506FC"/>
    <w:rsid w:val="00450841"/>
    <w:rsid w:val="00450A3B"/>
    <w:rsid w:val="004514F6"/>
    <w:rsid w:val="004515EE"/>
    <w:rsid w:val="00451CD5"/>
    <w:rsid w:val="00452618"/>
    <w:rsid w:val="00452B57"/>
    <w:rsid w:val="00454579"/>
    <w:rsid w:val="0045495B"/>
    <w:rsid w:val="00455F87"/>
    <w:rsid w:val="00456152"/>
    <w:rsid w:val="0045635A"/>
    <w:rsid w:val="0045694D"/>
    <w:rsid w:val="0045741F"/>
    <w:rsid w:val="0045761D"/>
    <w:rsid w:val="00457B76"/>
    <w:rsid w:val="00457CA1"/>
    <w:rsid w:val="00457E0B"/>
    <w:rsid w:val="004606B5"/>
    <w:rsid w:val="00461F20"/>
    <w:rsid w:val="00463427"/>
    <w:rsid w:val="00464215"/>
    <w:rsid w:val="00465C2C"/>
    <w:rsid w:val="00465E27"/>
    <w:rsid w:val="00466844"/>
    <w:rsid w:val="004669F4"/>
    <w:rsid w:val="00466B4C"/>
    <w:rsid w:val="00466E79"/>
    <w:rsid w:val="004675E9"/>
    <w:rsid w:val="00467903"/>
    <w:rsid w:val="004703EB"/>
    <w:rsid w:val="004709DC"/>
    <w:rsid w:val="004718CF"/>
    <w:rsid w:val="00471BE9"/>
    <w:rsid w:val="004723DE"/>
    <w:rsid w:val="00472435"/>
    <w:rsid w:val="0047261F"/>
    <w:rsid w:val="00472D31"/>
    <w:rsid w:val="004734D9"/>
    <w:rsid w:val="00473963"/>
    <w:rsid w:val="00475338"/>
    <w:rsid w:val="004768D6"/>
    <w:rsid w:val="00476BEB"/>
    <w:rsid w:val="00476CD0"/>
    <w:rsid w:val="00476D6B"/>
    <w:rsid w:val="00477086"/>
    <w:rsid w:val="004771E8"/>
    <w:rsid w:val="00477529"/>
    <w:rsid w:val="0047773E"/>
    <w:rsid w:val="00477957"/>
    <w:rsid w:val="004803F1"/>
    <w:rsid w:val="0048041C"/>
    <w:rsid w:val="00480B1E"/>
    <w:rsid w:val="00481DA0"/>
    <w:rsid w:val="00482151"/>
    <w:rsid w:val="004821F5"/>
    <w:rsid w:val="0048283D"/>
    <w:rsid w:val="004832AC"/>
    <w:rsid w:val="004838A6"/>
    <w:rsid w:val="00483D1D"/>
    <w:rsid w:val="00483EF4"/>
    <w:rsid w:val="0048494D"/>
    <w:rsid w:val="004849C9"/>
    <w:rsid w:val="00484B45"/>
    <w:rsid w:val="0048637B"/>
    <w:rsid w:val="004865DB"/>
    <w:rsid w:val="004867DC"/>
    <w:rsid w:val="00487256"/>
    <w:rsid w:val="00487488"/>
    <w:rsid w:val="004874B7"/>
    <w:rsid w:val="004876C7"/>
    <w:rsid w:val="00490AC7"/>
    <w:rsid w:val="00490D5C"/>
    <w:rsid w:val="00490D77"/>
    <w:rsid w:val="004910C8"/>
    <w:rsid w:val="00491966"/>
    <w:rsid w:val="00491A17"/>
    <w:rsid w:val="00491AFE"/>
    <w:rsid w:val="00491E95"/>
    <w:rsid w:val="00491F14"/>
    <w:rsid w:val="0049219B"/>
    <w:rsid w:val="004926F5"/>
    <w:rsid w:val="004927B3"/>
    <w:rsid w:val="00492D4B"/>
    <w:rsid w:val="00493016"/>
    <w:rsid w:val="00493796"/>
    <w:rsid w:val="00493BA4"/>
    <w:rsid w:val="00493CC2"/>
    <w:rsid w:val="00494846"/>
    <w:rsid w:val="00494B72"/>
    <w:rsid w:val="00494C7B"/>
    <w:rsid w:val="0049520A"/>
    <w:rsid w:val="00495D19"/>
    <w:rsid w:val="00495DB0"/>
    <w:rsid w:val="00496B0B"/>
    <w:rsid w:val="004974FF"/>
    <w:rsid w:val="004976F2"/>
    <w:rsid w:val="0049776C"/>
    <w:rsid w:val="00497C99"/>
    <w:rsid w:val="00497D0B"/>
    <w:rsid w:val="004A058A"/>
    <w:rsid w:val="004A06AC"/>
    <w:rsid w:val="004A2281"/>
    <w:rsid w:val="004A28A7"/>
    <w:rsid w:val="004A295F"/>
    <w:rsid w:val="004A2A36"/>
    <w:rsid w:val="004A3254"/>
    <w:rsid w:val="004A3577"/>
    <w:rsid w:val="004A37A4"/>
    <w:rsid w:val="004A3890"/>
    <w:rsid w:val="004A3DD2"/>
    <w:rsid w:val="004A41BB"/>
    <w:rsid w:val="004A43DD"/>
    <w:rsid w:val="004A48C0"/>
    <w:rsid w:val="004A4D68"/>
    <w:rsid w:val="004A6499"/>
    <w:rsid w:val="004A6677"/>
    <w:rsid w:val="004A7451"/>
    <w:rsid w:val="004B0907"/>
    <w:rsid w:val="004B0FBB"/>
    <w:rsid w:val="004B13E0"/>
    <w:rsid w:val="004B212B"/>
    <w:rsid w:val="004B245F"/>
    <w:rsid w:val="004B33C9"/>
    <w:rsid w:val="004B34D3"/>
    <w:rsid w:val="004B39FF"/>
    <w:rsid w:val="004B3D5D"/>
    <w:rsid w:val="004B4A2D"/>
    <w:rsid w:val="004B4E8F"/>
    <w:rsid w:val="004B57AE"/>
    <w:rsid w:val="004B5BC2"/>
    <w:rsid w:val="004B5C29"/>
    <w:rsid w:val="004B5E51"/>
    <w:rsid w:val="004B6685"/>
    <w:rsid w:val="004B67A6"/>
    <w:rsid w:val="004B6AFB"/>
    <w:rsid w:val="004B6B1C"/>
    <w:rsid w:val="004B6F5B"/>
    <w:rsid w:val="004B7598"/>
    <w:rsid w:val="004B77F9"/>
    <w:rsid w:val="004C00B7"/>
    <w:rsid w:val="004C0946"/>
    <w:rsid w:val="004C0F6B"/>
    <w:rsid w:val="004C12F4"/>
    <w:rsid w:val="004C14E1"/>
    <w:rsid w:val="004C179C"/>
    <w:rsid w:val="004C2516"/>
    <w:rsid w:val="004C26B0"/>
    <w:rsid w:val="004C2A01"/>
    <w:rsid w:val="004C2B30"/>
    <w:rsid w:val="004C468E"/>
    <w:rsid w:val="004C46C6"/>
    <w:rsid w:val="004C48D2"/>
    <w:rsid w:val="004C49B5"/>
    <w:rsid w:val="004C4A2B"/>
    <w:rsid w:val="004C5298"/>
    <w:rsid w:val="004C6269"/>
    <w:rsid w:val="004C6460"/>
    <w:rsid w:val="004C69F9"/>
    <w:rsid w:val="004C6A16"/>
    <w:rsid w:val="004C6C78"/>
    <w:rsid w:val="004C71A0"/>
    <w:rsid w:val="004C75DA"/>
    <w:rsid w:val="004D0805"/>
    <w:rsid w:val="004D1494"/>
    <w:rsid w:val="004D14BE"/>
    <w:rsid w:val="004D1622"/>
    <w:rsid w:val="004D1CEB"/>
    <w:rsid w:val="004D2004"/>
    <w:rsid w:val="004D2F1B"/>
    <w:rsid w:val="004D32D5"/>
    <w:rsid w:val="004D3D7E"/>
    <w:rsid w:val="004D4AAD"/>
    <w:rsid w:val="004D56D2"/>
    <w:rsid w:val="004D593F"/>
    <w:rsid w:val="004D5BEC"/>
    <w:rsid w:val="004D5EFF"/>
    <w:rsid w:val="004D5F7F"/>
    <w:rsid w:val="004D641F"/>
    <w:rsid w:val="004D6A5C"/>
    <w:rsid w:val="004D71B4"/>
    <w:rsid w:val="004D733C"/>
    <w:rsid w:val="004D7979"/>
    <w:rsid w:val="004D7DAB"/>
    <w:rsid w:val="004E1541"/>
    <w:rsid w:val="004E1FF5"/>
    <w:rsid w:val="004E260D"/>
    <w:rsid w:val="004E2949"/>
    <w:rsid w:val="004E2A8D"/>
    <w:rsid w:val="004E3E60"/>
    <w:rsid w:val="004E3EE8"/>
    <w:rsid w:val="004E3FC9"/>
    <w:rsid w:val="004E4D01"/>
    <w:rsid w:val="004E4D62"/>
    <w:rsid w:val="004E4D6A"/>
    <w:rsid w:val="004E4EC2"/>
    <w:rsid w:val="004E5064"/>
    <w:rsid w:val="004E5840"/>
    <w:rsid w:val="004E5F4D"/>
    <w:rsid w:val="004E62D0"/>
    <w:rsid w:val="004E64A6"/>
    <w:rsid w:val="004E6BB5"/>
    <w:rsid w:val="004E70DB"/>
    <w:rsid w:val="004F0E7A"/>
    <w:rsid w:val="004F14D9"/>
    <w:rsid w:val="004F156B"/>
    <w:rsid w:val="004F1C60"/>
    <w:rsid w:val="004F2415"/>
    <w:rsid w:val="004F3E68"/>
    <w:rsid w:val="004F472D"/>
    <w:rsid w:val="004F4851"/>
    <w:rsid w:val="004F5078"/>
    <w:rsid w:val="004F51E0"/>
    <w:rsid w:val="004F56A1"/>
    <w:rsid w:val="004F6216"/>
    <w:rsid w:val="004F69A0"/>
    <w:rsid w:val="004F745F"/>
    <w:rsid w:val="004F79C1"/>
    <w:rsid w:val="0050020F"/>
    <w:rsid w:val="005011F9"/>
    <w:rsid w:val="0050121C"/>
    <w:rsid w:val="005015E6"/>
    <w:rsid w:val="00502AC7"/>
    <w:rsid w:val="0050361D"/>
    <w:rsid w:val="0050410E"/>
    <w:rsid w:val="005058FF"/>
    <w:rsid w:val="00506B59"/>
    <w:rsid w:val="00507399"/>
    <w:rsid w:val="00507A60"/>
    <w:rsid w:val="00507C33"/>
    <w:rsid w:val="00511766"/>
    <w:rsid w:val="005121BB"/>
    <w:rsid w:val="0051224F"/>
    <w:rsid w:val="005122AF"/>
    <w:rsid w:val="005124AE"/>
    <w:rsid w:val="0051252D"/>
    <w:rsid w:val="00512945"/>
    <w:rsid w:val="00512D8B"/>
    <w:rsid w:val="00513198"/>
    <w:rsid w:val="0051351C"/>
    <w:rsid w:val="00513833"/>
    <w:rsid w:val="00513EB6"/>
    <w:rsid w:val="00514916"/>
    <w:rsid w:val="00514BFF"/>
    <w:rsid w:val="00515108"/>
    <w:rsid w:val="00515559"/>
    <w:rsid w:val="005161E7"/>
    <w:rsid w:val="00516701"/>
    <w:rsid w:val="00516A5D"/>
    <w:rsid w:val="00516A6A"/>
    <w:rsid w:val="00516F2C"/>
    <w:rsid w:val="005172E8"/>
    <w:rsid w:val="005175C0"/>
    <w:rsid w:val="00520541"/>
    <w:rsid w:val="0052123A"/>
    <w:rsid w:val="0052136D"/>
    <w:rsid w:val="00521898"/>
    <w:rsid w:val="00522C27"/>
    <w:rsid w:val="00522DC6"/>
    <w:rsid w:val="00522E1D"/>
    <w:rsid w:val="00522F58"/>
    <w:rsid w:val="005234FD"/>
    <w:rsid w:val="0052434D"/>
    <w:rsid w:val="00524821"/>
    <w:rsid w:val="00524C98"/>
    <w:rsid w:val="00524D81"/>
    <w:rsid w:val="005251CB"/>
    <w:rsid w:val="00525331"/>
    <w:rsid w:val="00525395"/>
    <w:rsid w:val="00525797"/>
    <w:rsid w:val="00526698"/>
    <w:rsid w:val="00527674"/>
    <w:rsid w:val="0052775E"/>
    <w:rsid w:val="00527B53"/>
    <w:rsid w:val="00527D99"/>
    <w:rsid w:val="00530127"/>
    <w:rsid w:val="005301DC"/>
    <w:rsid w:val="0053051E"/>
    <w:rsid w:val="00530820"/>
    <w:rsid w:val="00530C64"/>
    <w:rsid w:val="00530D32"/>
    <w:rsid w:val="00530F3B"/>
    <w:rsid w:val="00530F9C"/>
    <w:rsid w:val="00531A9B"/>
    <w:rsid w:val="00532702"/>
    <w:rsid w:val="00532F36"/>
    <w:rsid w:val="00533886"/>
    <w:rsid w:val="00533919"/>
    <w:rsid w:val="00533CAC"/>
    <w:rsid w:val="00533EFD"/>
    <w:rsid w:val="00534179"/>
    <w:rsid w:val="00534718"/>
    <w:rsid w:val="00535C0D"/>
    <w:rsid w:val="00535FED"/>
    <w:rsid w:val="0053634F"/>
    <w:rsid w:val="005365D8"/>
    <w:rsid w:val="00536713"/>
    <w:rsid w:val="005367F6"/>
    <w:rsid w:val="00537103"/>
    <w:rsid w:val="00537486"/>
    <w:rsid w:val="005375F6"/>
    <w:rsid w:val="00537D61"/>
    <w:rsid w:val="0054016E"/>
    <w:rsid w:val="0054064E"/>
    <w:rsid w:val="005409DC"/>
    <w:rsid w:val="005416AD"/>
    <w:rsid w:val="0054186D"/>
    <w:rsid w:val="00541B2A"/>
    <w:rsid w:val="00541D16"/>
    <w:rsid w:val="005420F2"/>
    <w:rsid w:val="00542544"/>
    <w:rsid w:val="00542BC7"/>
    <w:rsid w:val="005438A3"/>
    <w:rsid w:val="00544971"/>
    <w:rsid w:val="0054539D"/>
    <w:rsid w:val="00545B8B"/>
    <w:rsid w:val="005479E7"/>
    <w:rsid w:val="00547A47"/>
    <w:rsid w:val="005500B6"/>
    <w:rsid w:val="00550533"/>
    <w:rsid w:val="00550BDA"/>
    <w:rsid w:val="00550D3B"/>
    <w:rsid w:val="005519D0"/>
    <w:rsid w:val="00551B3C"/>
    <w:rsid w:val="00552637"/>
    <w:rsid w:val="00552689"/>
    <w:rsid w:val="00552E5A"/>
    <w:rsid w:val="00553373"/>
    <w:rsid w:val="005537D0"/>
    <w:rsid w:val="005545F1"/>
    <w:rsid w:val="00554670"/>
    <w:rsid w:val="00555235"/>
    <w:rsid w:val="00555258"/>
    <w:rsid w:val="00555466"/>
    <w:rsid w:val="005559C6"/>
    <w:rsid w:val="00555AD8"/>
    <w:rsid w:val="00555FC9"/>
    <w:rsid w:val="00556011"/>
    <w:rsid w:val="00556E07"/>
    <w:rsid w:val="00557400"/>
    <w:rsid w:val="005574AA"/>
    <w:rsid w:val="005579F7"/>
    <w:rsid w:val="00557E15"/>
    <w:rsid w:val="005618F9"/>
    <w:rsid w:val="00561E31"/>
    <w:rsid w:val="0056212C"/>
    <w:rsid w:val="005628B6"/>
    <w:rsid w:val="00562AC2"/>
    <w:rsid w:val="00562B61"/>
    <w:rsid w:val="00562C99"/>
    <w:rsid w:val="00562F4D"/>
    <w:rsid w:val="005630EA"/>
    <w:rsid w:val="00563EE6"/>
    <w:rsid w:val="00564714"/>
    <w:rsid w:val="0056564F"/>
    <w:rsid w:val="0056624F"/>
    <w:rsid w:val="005667CA"/>
    <w:rsid w:val="00567304"/>
    <w:rsid w:val="00567421"/>
    <w:rsid w:val="00567A33"/>
    <w:rsid w:val="00567CE1"/>
    <w:rsid w:val="00567FCF"/>
    <w:rsid w:val="00570160"/>
    <w:rsid w:val="005704D1"/>
    <w:rsid w:val="005712E7"/>
    <w:rsid w:val="00571BB4"/>
    <w:rsid w:val="00571CA9"/>
    <w:rsid w:val="005722B3"/>
    <w:rsid w:val="00573707"/>
    <w:rsid w:val="00573977"/>
    <w:rsid w:val="0057414A"/>
    <w:rsid w:val="0057494C"/>
    <w:rsid w:val="00574EB0"/>
    <w:rsid w:val="005752B8"/>
    <w:rsid w:val="00575708"/>
    <w:rsid w:val="00576449"/>
    <w:rsid w:val="00576658"/>
    <w:rsid w:val="00576C15"/>
    <w:rsid w:val="00577E64"/>
    <w:rsid w:val="00580700"/>
    <w:rsid w:val="0058086E"/>
    <w:rsid w:val="005809BB"/>
    <w:rsid w:val="00582528"/>
    <w:rsid w:val="00582618"/>
    <w:rsid w:val="00583D58"/>
    <w:rsid w:val="005848B3"/>
    <w:rsid w:val="005853D7"/>
    <w:rsid w:val="00586059"/>
    <w:rsid w:val="00586ABA"/>
    <w:rsid w:val="0058726B"/>
    <w:rsid w:val="00587F40"/>
    <w:rsid w:val="0059054C"/>
    <w:rsid w:val="005909D1"/>
    <w:rsid w:val="00590AA3"/>
    <w:rsid w:val="00590C66"/>
    <w:rsid w:val="00590F87"/>
    <w:rsid w:val="0059191A"/>
    <w:rsid w:val="00591A28"/>
    <w:rsid w:val="00591C1F"/>
    <w:rsid w:val="005921D2"/>
    <w:rsid w:val="005928DF"/>
    <w:rsid w:val="005928FE"/>
    <w:rsid w:val="00592A42"/>
    <w:rsid w:val="00592C4A"/>
    <w:rsid w:val="00592C4B"/>
    <w:rsid w:val="00592D66"/>
    <w:rsid w:val="00592EFD"/>
    <w:rsid w:val="0059422D"/>
    <w:rsid w:val="0059459C"/>
    <w:rsid w:val="00594628"/>
    <w:rsid w:val="00594A94"/>
    <w:rsid w:val="00594C0E"/>
    <w:rsid w:val="00594CF0"/>
    <w:rsid w:val="00595681"/>
    <w:rsid w:val="005961C1"/>
    <w:rsid w:val="00596250"/>
    <w:rsid w:val="00596EFC"/>
    <w:rsid w:val="00597E6E"/>
    <w:rsid w:val="005A001B"/>
    <w:rsid w:val="005A03B2"/>
    <w:rsid w:val="005A0415"/>
    <w:rsid w:val="005A0707"/>
    <w:rsid w:val="005A084E"/>
    <w:rsid w:val="005A09CB"/>
    <w:rsid w:val="005A0C1C"/>
    <w:rsid w:val="005A0DD8"/>
    <w:rsid w:val="005A104A"/>
    <w:rsid w:val="005A1345"/>
    <w:rsid w:val="005A17DE"/>
    <w:rsid w:val="005A1B1D"/>
    <w:rsid w:val="005A27F4"/>
    <w:rsid w:val="005A3B8B"/>
    <w:rsid w:val="005A3C2F"/>
    <w:rsid w:val="005A49BC"/>
    <w:rsid w:val="005A4BE5"/>
    <w:rsid w:val="005A533E"/>
    <w:rsid w:val="005A5D3B"/>
    <w:rsid w:val="005A6761"/>
    <w:rsid w:val="005A72E7"/>
    <w:rsid w:val="005A7430"/>
    <w:rsid w:val="005A7F28"/>
    <w:rsid w:val="005B0286"/>
    <w:rsid w:val="005B0D65"/>
    <w:rsid w:val="005B0D9C"/>
    <w:rsid w:val="005B104A"/>
    <w:rsid w:val="005B180A"/>
    <w:rsid w:val="005B1AA9"/>
    <w:rsid w:val="005B2580"/>
    <w:rsid w:val="005B293E"/>
    <w:rsid w:val="005B2C5A"/>
    <w:rsid w:val="005B31A3"/>
    <w:rsid w:val="005B31F6"/>
    <w:rsid w:val="005B3DB3"/>
    <w:rsid w:val="005B55CF"/>
    <w:rsid w:val="005B5D1A"/>
    <w:rsid w:val="005B5F27"/>
    <w:rsid w:val="005B620E"/>
    <w:rsid w:val="005B6292"/>
    <w:rsid w:val="005B670B"/>
    <w:rsid w:val="005B67CB"/>
    <w:rsid w:val="005B6A0D"/>
    <w:rsid w:val="005B71B9"/>
    <w:rsid w:val="005B725A"/>
    <w:rsid w:val="005B7A3D"/>
    <w:rsid w:val="005B7BB9"/>
    <w:rsid w:val="005B7F9D"/>
    <w:rsid w:val="005C04EC"/>
    <w:rsid w:val="005C06E1"/>
    <w:rsid w:val="005C08CA"/>
    <w:rsid w:val="005C0B53"/>
    <w:rsid w:val="005C11E0"/>
    <w:rsid w:val="005C1652"/>
    <w:rsid w:val="005C1CC7"/>
    <w:rsid w:val="005C1E22"/>
    <w:rsid w:val="005C2415"/>
    <w:rsid w:val="005C3586"/>
    <w:rsid w:val="005C3CD1"/>
    <w:rsid w:val="005C4508"/>
    <w:rsid w:val="005C4F89"/>
    <w:rsid w:val="005C5760"/>
    <w:rsid w:val="005C5BC2"/>
    <w:rsid w:val="005C5D77"/>
    <w:rsid w:val="005C5D7E"/>
    <w:rsid w:val="005C5E75"/>
    <w:rsid w:val="005C5E79"/>
    <w:rsid w:val="005C674E"/>
    <w:rsid w:val="005C6D98"/>
    <w:rsid w:val="005C7B0C"/>
    <w:rsid w:val="005D0E65"/>
    <w:rsid w:val="005D130D"/>
    <w:rsid w:val="005D1DFF"/>
    <w:rsid w:val="005D2DFC"/>
    <w:rsid w:val="005D30B8"/>
    <w:rsid w:val="005D4551"/>
    <w:rsid w:val="005D4877"/>
    <w:rsid w:val="005D4A98"/>
    <w:rsid w:val="005D4D65"/>
    <w:rsid w:val="005D4EA0"/>
    <w:rsid w:val="005D542D"/>
    <w:rsid w:val="005D5721"/>
    <w:rsid w:val="005D5AF5"/>
    <w:rsid w:val="005D5BCB"/>
    <w:rsid w:val="005D5E8C"/>
    <w:rsid w:val="005D5F4E"/>
    <w:rsid w:val="005D5FE7"/>
    <w:rsid w:val="005D653B"/>
    <w:rsid w:val="005D6872"/>
    <w:rsid w:val="005D7607"/>
    <w:rsid w:val="005D763C"/>
    <w:rsid w:val="005E046E"/>
    <w:rsid w:val="005E06C2"/>
    <w:rsid w:val="005E088F"/>
    <w:rsid w:val="005E0B3B"/>
    <w:rsid w:val="005E12A2"/>
    <w:rsid w:val="005E14B4"/>
    <w:rsid w:val="005E198F"/>
    <w:rsid w:val="005E234F"/>
    <w:rsid w:val="005E296B"/>
    <w:rsid w:val="005E2D2C"/>
    <w:rsid w:val="005E2F9E"/>
    <w:rsid w:val="005E36FA"/>
    <w:rsid w:val="005E3F67"/>
    <w:rsid w:val="005E40FD"/>
    <w:rsid w:val="005E4BCE"/>
    <w:rsid w:val="005E5034"/>
    <w:rsid w:val="005E59F0"/>
    <w:rsid w:val="005E6AA9"/>
    <w:rsid w:val="005E6AAB"/>
    <w:rsid w:val="005E7418"/>
    <w:rsid w:val="005E783D"/>
    <w:rsid w:val="005E7981"/>
    <w:rsid w:val="005F0A4C"/>
    <w:rsid w:val="005F0CFD"/>
    <w:rsid w:val="005F0EF7"/>
    <w:rsid w:val="005F1F0B"/>
    <w:rsid w:val="005F2358"/>
    <w:rsid w:val="005F2734"/>
    <w:rsid w:val="005F2C1E"/>
    <w:rsid w:val="005F3773"/>
    <w:rsid w:val="005F416B"/>
    <w:rsid w:val="005F448F"/>
    <w:rsid w:val="005F494A"/>
    <w:rsid w:val="005F4F98"/>
    <w:rsid w:val="005F5024"/>
    <w:rsid w:val="005F5699"/>
    <w:rsid w:val="005F575B"/>
    <w:rsid w:val="005F575F"/>
    <w:rsid w:val="005F57AD"/>
    <w:rsid w:val="005F5B64"/>
    <w:rsid w:val="005F631C"/>
    <w:rsid w:val="005F7079"/>
    <w:rsid w:val="005F7717"/>
    <w:rsid w:val="005F7B75"/>
    <w:rsid w:val="005F7F93"/>
    <w:rsid w:val="006001EE"/>
    <w:rsid w:val="0060056C"/>
    <w:rsid w:val="0060081E"/>
    <w:rsid w:val="00600A13"/>
    <w:rsid w:val="00600C3D"/>
    <w:rsid w:val="0060146D"/>
    <w:rsid w:val="00601CA8"/>
    <w:rsid w:val="0060215C"/>
    <w:rsid w:val="006026B0"/>
    <w:rsid w:val="0060283A"/>
    <w:rsid w:val="00602B75"/>
    <w:rsid w:val="00602C51"/>
    <w:rsid w:val="0060390D"/>
    <w:rsid w:val="00603CD2"/>
    <w:rsid w:val="00603DAF"/>
    <w:rsid w:val="006040C4"/>
    <w:rsid w:val="0060495B"/>
    <w:rsid w:val="00605042"/>
    <w:rsid w:val="0060625E"/>
    <w:rsid w:val="0060641B"/>
    <w:rsid w:val="00606B2B"/>
    <w:rsid w:val="00606BD9"/>
    <w:rsid w:val="00606BE4"/>
    <w:rsid w:val="00607133"/>
    <w:rsid w:val="00607635"/>
    <w:rsid w:val="00607E98"/>
    <w:rsid w:val="006108EC"/>
    <w:rsid w:val="00610E6A"/>
    <w:rsid w:val="0061115C"/>
    <w:rsid w:val="00611189"/>
    <w:rsid w:val="0061151F"/>
    <w:rsid w:val="00611521"/>
    <w:rsid w:val="00611774"/>
    <w:rsid w:val="00611EBB"/>
    <w:rsid w:val="00611FC4"/>
    <w:rsid w:val="006123D4"/>
    <w:rsid w:val="00612E23"/>
    <w:rsid w:val="00612EBB"/>
    <w:rsid w:val="00613963"/>
    <w:rsid w:val="00613F37"/>
    <w:rsid w:val="0061455F"/>
    <w:rsid w:val="0061485A"/>
    <w:rsid w:val="00614C50"/>
    <w:rsid w:val="00615D80"/>
    <w:rsid w:val="00616894"/>
    <w:rsid w:val="00616D30"/>
    <w:rsid w:val="006176FB"/>
    <w:rsid w:val="00620684"/>
    <w:rsid w:val="00620817"/>
    <w:rsid w:val="00621474"/>
    <w:rsid w:val="0062194C"/>
    <w:rsid w:val="00621DE8"/>
    <w:rsid w:val="00622AF5"/>
    <w:rsid w:val="00622D48"/>
    <w:rsid w:val="00622E3D"/>
    <w:rsid w:val="00622ED2"/>
    <w:rsid w:val="006233B0"/>
    <w:rsid w:val="006236E1"/>
    <w:rsid w:val="006238C8"/>
    <w:rsid w:val="00624677"/>
    <w:rsid w:val="0062467E"/>
    <w:rsid w:val="006247AB"/>
    <w:rsid w:val="00624CF0"/>
    <w:rsid w:val="00624F12"/>
    <w:rsid w:val="0062587B"/>
    <w:rsid w:val="00625CD1"/>
    <w:rsid w:val="00625FB0"/>
    <w:rsid w:val="006264FB"/>
    <w:rsid w:val="00626D71"/>
    <w:rsid w:val="00627158"/>
    <w:rsid w:val="006274AD"/>
    <w:rsid w:val="00627FB0"/>
    <w:rsid w:val="00630460"/>
    <w:rsid w:val="00630676"/>
    <w:rsid w:val="00631010"/>
    <w:rsid w:val="00631636"/>
    <w:rsid w:val="00632287"/>
    <w:rsid w:val="006331D8"/>
    <w:rsid w:val="00633BF9"/>
    <w:rsid w:val="00634F18"/>
    <w:rsid w:val="0063516D"/>
    <w:rsid w:val="0063531D"/>
    <w:rsid w:val="006354FD"/>
    <w:rsid w:val="006358A6"/>
    <w:rsid w:val="00635DFF"/>
    <w:rsid w:val="00636EFE"/>
    <w:rsid w:val="006374CE"/>
    <w:rsid w:val="006377FA"/>
    <w:rsid w:val="006405BC"/>
    <w:rsid w:val="00640B26"/>
    <w:rsid w:val="00641091"/>
    <w:rsid w:val="0064226F"/>
    <w:rsid w:val="00642B4D"/>
    <w:rsid w:val="00642D71"/>
    <w:rsid w:val="00643130"/>
    <w:rsid w:val="006445FE"/>
    <w:rsid w:val="00644858"/>
    <w:rsid w:val="0064532A"/>
    <w:rsid w:val="00645766"/>
    <w:rsid w:val="0064627F"/>
    <w:rsid w:val="006462C6"/>
    <w:rsid w:val="006464C9"/>
    <w:rsid w:val="00646E67"/>
    <w:rsid w:val="0064760F"/>
    <w:rsid w:val="006478E6"/>
    <w:rsid w:val="00647B97"/>
    <w:rsid w:val="00647FC8"/>
    <w:rsid w:val="006511FC"/>
    <w:rsid w:val="0065247F"/>
    <w:rsid w:val="006525EB"/>
    <w:rsid w:val="00652752"/>
    <w:rsid w:val="00652D0A"/>
    <w:rsid w:val="006531CB"/>
    <w:rsid w:val="00653373"/>
    <w:rsid w:val="00653812"/>
    <w:rsid w:val="00653930"/>
    <w:rsid w:val="00654777"/>
    <w:rsid w:val="00656104"/>
    <w:rsid w:val="00657399"/>
    <w:rsid w:val="00657B9C"/>
    <w:rsid w:val="00657FAC"/>
    <w:rsid w:val="006605DB"/>
    <w:rsid w:val="00660C67"/>
    <w:rsid w:val="00660D31"/>
    <w:rsid w:val="006612B8"/>
    <w:rsid w:val="00661597"/>
    <w:rsid w:val="006617E2"/>
    <w:rsid w:val="006619A2"/>
    <w:rsid w:val="006619EB"/>
    <w:rsid w:val="00661A6C"/>
    <w:rsid w:val="00661E29"/>
    <w:rsid w:val="0066242F"/>
    <w:rsid w:val="00662BB6"/>
    <w:rsid w:val="006631C7"/>
    <w:rsid w:val="006635E7"/>
    <w:rsid w:val="006639A3"/>
    <w:rsid w:val="00663F36"/>
    <w:rsid w:val="006642F9"/>
    <w:rsid w:val="006643B3"/>
    <w:rsid w:val="00664C49"/>
    <w:rsid w:val="00665539"/>
    <w:rsid w:val="0066561D"/>
    <w:rsid w:val="0066644D"/>
    <w:rsid w:val="006664C2"/>
    <w:rsid w:val="006667D1"/>
    <w:rsid w:val="00666BA0"/>
    <w:rsid w:val="00667803"/>
    <w:rsid w:val="00670053"/>
    <w:rsid w:val="006703C4"/>
    <w:rsid w:val="00670B9D"/>
    <w:rsid w:val="00674026"/>
    <w:rsid w:val="006743E9"/>
    <w:rsid w:val="00675585"/>
    <w:rsid w:val="00675880"/>
    <w:rsid w:val="006761F3"/>
    <w:rsid w:val="006761F7"/>
    <w:rsid w:val="006765D7"/>
    <w:rsid w:val="006768D0"/>
    <w:rsid w:val="0068043D"/>
    <w:rsid w:val="00680461"/>
    <w:rsid w:val="006804A9"/>
    <w:rsid w:val="00681F6E"/>
    <w:rsid w:val="00682284"/>
    <w:rsid w:val="00682ADD"/>
    <w:rsid w:val="00682C56"/>
    <w:rsid w:val="00683057"/>
    <w:rsid w:val="0068334F"/>
    <w:rsid w:val="006838C8"/>
    <w:rsid w:val="00683EF7"/>
    <w:rsid w:val="00684047"/>
    <w:rsid w:val="0068435B"/>
    <w:rsid w:val="00684C21"/>
    <w:rsid w:val="0068555B"/>
    <w:rsid w:val="0068599A"/>
    <w:rsid w:val="00685E10"/>
    <w:rsid w:val="00685FA6"/>
    <w:rsid w:val="00685FD6"/>
    <w:rsid w:val="0068651D"/>
    <w:rsid w:val="00687350"/>
    <w:rsid w:val="00687357"/>
    <w:rsid w:val="006873F4"/>
    <w:rsid w:val="0068743C"/>
    <w:rsid w:val="006877B3"/>
    <w:rsid w:val="00687B74"/>
    <w:rsid w:val="00687BDC"/>
    <w:rsid w:val="0069125E"/>
    <w:rsid w:val="00691F84"/>
    <w:rsid w:val="00692BBE"/>
    <w:rsid w:val="0069374D"/>
    <w:rsid w:val="00694172"/>
    <w:rsid w:val="006941D6"/>
    <w:rsid w:val="00694695"/>
    <w:rsid w:val="00694AE6"/>
    <w:rsid w:val="00695789"/>
    <w:rsid w:val="00695DFB"/>
    <w:rsid w:val="00695FC3"/>
    <w:rsid w:val="006962D6"/>
    <w:rsid w:val="00696929"/>
    <w:rsid w:val="0069763E"/>
    <w:rsid w:val="0069767E"/>
    <w:rsid w:val="006976A6"/>
    <w:rsid w:val="0069788E"/>
    <w:rsid w:val="0069795D"/>
    <w:rsid w:val="006A01CE"/>
    <w:rsid w:val="006A04A3"/>
    <w:rsid w:val="006A07BE"/>
    <w:rsid w:val="006A07D7"/>
    <w:rsid w:val="006A0A96"/>
    <w:rsid w:val="006A0E69"/>
    <w:rsid w:val="006A1764"/>
    <w:rsid w:val="006A195D"/>
    <w:rsid w:val="006A24B2"/>
    <w:rsid w:val="006A34E9"/>
    <w:rsid w:val="006A36E8"/>
    <w:rsid w:val="006A3ADD"/>
    <w:rsid w:val="006A53B5"/>
    <w:rsid w:val="006A5885"/>
    <w:rsid w:val="006A5C5D"/>
    <w:rsid w:val="006A626B"/>
    <w:rsid w:val="006A6326"/>
    <w:rsid w:val="006A703F"/>
    <w:rsid w:val="006B0408"/>
    <w:rsid w:val="006B04B5"/>
    <w:rsid w:val="006B0AE4"/>
    <w:rsid w:val="006B15EF"/>
    <w:rsid w:val="006B1DC0"/>
    <w:rsid w:val="006B29DA"/>
    <w:rsid w:val="006B2B73"/>
    <w:rsid w:val="006B2E41"/>
    <w:rsid w:val="006B2EA3"/>
    <w:rsid w:val="006B2F3B"/>
    <w:rsid w:val="006B310B"/>
    <w:rsid w:val="006B3840"/>
    <w:rsid w:val="006B41F6"/>
    <w:rsid w:val="006B42A8"/>
    <w:rsid w:val="006B551F"/>
    <w:rsid w:val="006B56C7"/>
    <w:rsid w:val="006B5CC6"/>
    <w:rsid w:val="006B65AC"/>
    <w:rsid w:val="006B65E0"/>
    <w:rsid w:val="006B67B6"/>
    <w:rsid w:val="006B6FE6"/>
    <w:rsid w:val="006B73BB"/>
    <w:rsid w:val="006C014A"/>
    <w:rsid w:val="006C0305"/>
    <w:rsid w:val="006C0978"/>
    <w:rsid w:val="006C0F4B"/>
    <w:rsid w:val="006C14B3"/>
    <w:rsid w:val="006C1D72"/>
    <w:rsid w:val="006C2C2D"/>
    <w:rsid w:val="006C3AD1"/>
    <w:rsid w:val="006C3E87"/>
    <w:rsid w:val="006C4887"/>
    <w:rsid w:val="006C4B8F"/>
    <w:rsid w:val="006C4C8C"/>
    <w:rsid w:val="006C59F3"/>
    <w:rsid w:val="006C5FE1"/>
    <w:rsid w:val="006C692F"/>
    <w:rsid w:val="006C6BA0"/>
    <w:rsid w:val="006C6C54"/>
    <w:rsid w:val="006C73E9"/>
    <w:rsid w:val="006D02A7"/>
    <w:rsid w:val="006D0842"/>
    <w:rsid w:val="006D0E06"/>
    <w:rsid w:val="006D2130"/>
    <w:rsid w:val="006D2401"/>
    <w:rsid w:val="006D2696"/>
    <w:rsid w:val="006D2B97"/>
    <w:rsid w:val="006D35D1"/>
    <w:rsid w:val="006D35FC"/>
    <w:rsid w:val="006D37AF"/>
    <w:rsid w:val="006D3A41"/>
    <w:rsid w:val="006D51D0"/>
    <w:rsid w:val="006D5DAB"/>
    <w:rsid w:val="006D6497"/>
    <w:rsid w:val="006D6C93"/>
    <w:rsid w:val="006D6FF9"/>
    <w:rsid w:val="006D75C7"/>
    <w:rsid w:val="006D7B62"/>
    <w:rsid w:val="006E012F"/>
    <w:rsid w:val="006E078A"/>
    <w:rsid w:val="006E0CDE"/>
    <w:rsid w:val="006E1A90"/>
    <w:rsid w:val="006E1E4F"/>
    <w:rsid w:val="006E1EF2"/>
    <w:rsid w:val="006E1FF2"/>
    <w:rsid w:val="006E20BF"/>
    <w:rsid w:val="006E234D"/>
    <w:rsid w:val="006E2789"/>
    <w:rsid w:val="006E2A7D"/>
    <w:rsid w:val="006E2DB8"/>
    <w:rsid w:val="006E2F44"/>
    <w:rsid w:val="006E3057"/>
    <w:rsid w:val="006E3134"/>
    <w:rsid w:val="006E34B9"/>
    <w:rsid w:val="006E37EC"/>
    <w:rsid w:val="006E41EA"/>
    <w:rsid w:val="006E564B"/>
    <w:rsid w:val="006E5E89"/>
    <w:rsid w:val="006E6CC7"/>
    <w:rsid w:val="006E6FAF"/>
    <w:rsid w:val="006E7167"/>
    <w:rsid w:val="006E7191"/>
    <w:rsid w:val="006E777F"/>
    <w:rsid w:val="006E7E80"/>
    <w:rsid w:val="006F02DF"/>
    <w:rsid w:val="006F0678"/>
    <w:rsid w:val="006F13AD"/>
    <w:rsid w:val="006F1F27"/>
    <w:rsid w:val="006F28FE"/>
    <w:rsid w:val="006F2CED"/>
    <w:rsid w:val="006F35DD"/>
    <w:rsid w:val="006F36AC"/>
    <w:rsid w:val="006F3789"/>
    <w:rsid w:val="006F3FA2"/>
    <w:rsid w:val="006F407E"/>
    <w:rsid w:val="006F4186"/>
    <w:rsid w:val="006F5B6D"/>
    <w:rsid w:val="006F5EF8"/>
    <w:rsid w:val="006F60C0"/>
    <w:rsid w:val="006F66A4"/>
    <w:rsid w:val="006F738D"/>
    <w:rsid w:val="0070051A"/>
    <w:rsid w:val="00701015"/>
    <w:rsid w:val="007011D2"/>
    <w:rsid w:val="0070129E"/>
    <w:rsid w:val="00701733"/>
    <w:rsid w:val="00701ABF"/>
    <w:rsid w:val="00701E11"/>
    <w:rsid w:val="007027AD"/>
    <w:rsid w:val="0070353B"/>
    <w:rsid w:val="00703577"/>
    <w:rsid w:val="00703F49"/>
    <w:rsid w:val="007041A0"/>
    <w:rsid w:val="00704C81"/>
    <w:rsid w:val="00704F73"/>
    <w:rsid w:val="007053C1"/>
    <w:rsid w:val="0070542B"/>
    <w:rsid w:val="00705608"/>
    <w:rsid w:val="00705625"/>
    <w:rsid w:val="00706FD4"/>
    <w:rsid w:val="00710618"/>
    <w:rsid w:val="007106F4"/>
    <w:rsid w:val="0071092C"/>
    <w:rsid w:val="00710934"/>
    <w:rsid w:val="00710F58"/>
    <w:rsid w:val="007110CE"/>
    <w:rsid w:val="007110FA"/>
    <w:rsid w:val="007113A4"/>
    <w:rsid w:val="00711F00"/>
    <w:rsid w:val="0071252F"/>
    <w:rsid w:val="00713564"/>
    <w:rsid w:val="00713B23"/>
    <w:rsid w:val="00713DE2"/>
    <w:rsid w:val="007162B8"/>
    <w:rsid w:val="00716672"/>
    <w:rsid w:val="0071669B"/>
    <w:rsid w:val="00716A3C"/>
    <w:rsid w:val="00717631"/>
    <w:rsid w:val="007177BB"/>
    <w:rsid w:val="00717AE0"/>
    <w:rsid w:val="00720892"/>
    <w:rsid w:val="00720B8C"/>
    <w:rsid w:val="0072172B"/>
    <w:rsid w:val="007220EC"/>
    <w:rsid w:val="0072226B"/>
    <w:rsid w:val="007225DC"/>
    <w:rsid w:val="00722951"/>
    <w:rsid w:val="00722A6C"/>
    <w:rsid w:val="00723088"/>
    <w:rsid w:val="00723A0D"/>
    <w:rsid w:val="00723EA1"/>
    <w:rsid w:val="0072436F"/>
    <w:rsid w:val="00724D27"/>
    <w:rsid w:val="00725525"/>
    <w:rsid w:val="00725D02"/>
    <w:rsid w:val="00725F30"/>
    <w:rsid w:val="0072632A"/>
    <w:rsid w:val="00726AAA"/>
    <w:rsid w:val="00726C0F"/>
    <w:rsid w:val="00726C70"/>
    <w:rsid w:val="00726F57"/>
    <w:rsid w:val="007275DC"/>
    <w:rsid w:val="007277FD"/>
    <w:rsid w:val="0072786F"/>
    <w:rsid w:val="007303C7"/>
    <w:rsid w:val="007306AF"/>
    <w:rsid w:val="007308C8"/>
    <w:rsid w:val="00730A0E"/>
    <w:rsid w:val="007310AD"/>
    <w:rsid w:val="00731483"/>
    <w:rsid w:val="00731C6A"/>
    <w:rsid w:val="00732669"/>
    <w:rsid w:val="007327D5"/>
    <w:rsid w:val="007328FB"/>
    <w:rsid w:val="00732B51"/>
    <w:rsid w:val="00732C49"/>
    <w:rsid w:val="0073326E"/>
    <w:rsid w:val="0073402E"/>
    <w:rsid w:val="007341AF"/>
    <w:rsid w:val="007358A7"/>
    <w:rsid w:val="00735B27"/>
    <w:rsid w:val="00735CA1"/>
    <w:rsid w:val="00735D82"/>
    <w:rsid w:val="00736E08"/>
    <w:rsid w:val="00736ECC"/>
    <w:rsid w:val="00740255"/>
    <w:rsid w:val="00740D55"/>
    <w:rsid w:val="007415DB"/>
    <w:rsid w:val="007416C8"/>
    <w:rsid w:val="007417BC"/>
    <w:rsid w:val="007420D8"/>
    <w:rsid w:val="0074226A"/>
    <w:rsid w:val="0074242A"/>
    <w:rsid w:val="00743BAA"/>
    <w:rsid w:val="007442BA"/>
    <w:rsid w:val="00745523"/>
    <w:rsid w:val="007456CB"/>
    <w:rsid w:val="00745B9D"/>
    <w:rsid w:val="00745DCD"/>
    <w:rsid w:val="00746A16"/>
    <w:rsid w:val="00746BB2"/>
    <w:rsid w:val="00746F1E"/>
    <w:rsid w:val="00747450"/>
    <w:rsid w:val="00751147"/>
    <w:rsid w:val="00752AD2"/>
    <w:rsid w:val="00752BAD"/>
    <w:rsid w:val="00753A6D"/>
    <w:rsid w:val="00753ACC"/>
    <w:rsid w:val="00753BA9"/>
    <w:rsid w:val="00753C28"/>
    <w:rsid w:val="00755C1D"/>
    <w:rsid w:val="007560A0"/>
    <w:rsid w:val="00756450"/>
    <w:rsid w:val="00756AFD"/>
    <w:rsid w:val="00756F12"/>
    <w:rsid w:val="00757044"/>
    <w:rsid w:val="007574EA"/>
    <w:rsid w:val="0076033B"/>
    <w:rsid w:val="00760C52"/>
    <w:rsid w:val="00760F53"/>
    <w:rsid w:val="0076132B"/>
    <w:rsid w:val="00761B15"/>
    <w:rsid w:val="00761DFA"/>
    <w:rsid w:val="007627EE"/>
    <w:rsid w:val="007629C8"/>
    <w:rsid w:val="00762E3B"/>
    <w:rsid w:val="00762ED7"/>
    <w:rsid w:val="00763C47"/>
    <w:rsid w:val="00764878"/>
    <w:rsid w:val="00765061"/>
    <w:rsid w:val="0076555F"/>
    <w:rsid w:val="0076578F"/>
    <w:rsid w:val="00765871"/>
    <w:rsid w:val="0076609B"/>
    <w:rsid w:val="00766EB4"/>
    <w:rsid w:val="00766FDB"/>
    <w:rsid w:val="00767016"/>
    <w:rsid w:val="00767ABF"/>
    <w:rsid w:val="00767C1A"/>
    <w:rsid w:val="00767C3B"/>
    <w:rsid w:val="00770236"/>
    <w:rsid w:val="00771F2C"/>
    <w:rsid w:val="007723A1"/>
    <w:rsid w:val="00772BF8"/>
    <w:rsid w:val="00772C8A"/>
    <w:rsid w:val="00773898"/>
    <w:rsid w:val="00773B2D"/>
    <w:rsid w:val="00773B6C"/>
    <w:rsid w:val="00775372"/>
    <w:rsid w:val="00775421"/>
    <w:rsid w:val="00775788"/>
    <w:rsid w:val="007757D4"/>
    <w:rsid w:val="00775BFD"/>
    <w:rsid w:val="0077671F"/>
    <w:rsid w:val="007769C2"/>
    <w:rsid w:val="00777729"/>
    <w:rsid w:val="00777857"/>
    <w:rsid w:val="00777DF8"/>
    <w:rsid w:val="007806A3"/>
    <w:rsid w:val="007812BA"/>
    <w:rsid w:val="007818F4"/>
    <w:rsid w:val="00781C83"/>
    <w:rsid w:val="007826F5"/>
    <w:rsid w:val="00782D39"/>
    <w:rsid w:val="00782F90"/>
    <w:rsid w:val="0078300D"/>
    <w:rsid w:val="00783580"/>
    <w:rsid w:val="00783CEA"/>
    <w:rsid w:val="00783DA7"/>
    <w:rsid w:val="00784231"/>
    <w:rsid w:val="0078469D"/>
    <w:rsid w:val="00784BCF"/>
    <w:rsid w:val="00784C71"/>
    <w:rsid w:val="007853BE"/>
    <w:rsid w:val="00785623"/>
    <w:rsid w:val="00786A9E"/>
    <w:rsid w:val="00786F3A"/>
    <w:rsid w:val="00787649"/>
    <w:rsid w:val="00787C57"/>
    <w:rsid w:val="00787DEE"/>
    <w:rsid w:val="00787E5D"/>
    <w:rsid w:val="00790647"/>
    <w:rsid w:val="0079081C"/>
    <w:rsid w:val="0079151D"/>
    <w:rsid w:val="00791657"/>
    <w:rsid w:val="00791C81"/>
    <w:rsid w:val="0079221B"/>
    <w:rsid w:val="007925AE"/>
    <w:rsid w:val="007926E9"/>
    <w:rsid w:val="007929DD"/>
    <w:rsid w:val="0079312E"/>
    <w:rsid w:val="0079388E"/>
    <w:rsid w:val="00794546"/>
    <w:rsid w:val="00794B4A"/>
    <w:rsid w:val="007951FC"/>
    <w:rsid w:val="00795552"/>
    <w:rsid w:val="00795856"/>
    <w:rsid w:val="00795F7A"/>
    <w:rsid w:val="007961C9"/>
    <w:rsid w:val="007965DB"/>
    <w:rsid w:val="007966F6"/>
    <w:rsid w:val="00796A14"/>
    <w:rsid w:val="00797C40"/>
    <w:rsid w:val="00797DB4"/>
    <w:rsid w:val="007A1319"/>
    <w:rsid w:val="007A133C"/>
    <w:rsid w:val="007A1B15"/>
    <w:rsid w:val="007A241A"/>
    <w:rsid w:val="007A401C"/>
    <w:rsid w:val="007A4211"/>
    <w:rsid w:val="007A4383"/>
    <w:rsid w:val="007A48D0"/>
    <w:rsid w:val="007A4C40"/>
    <w:rsid w:val="007A52D5"/>
    <w:rsid w:val="007A6524"/>
    <w:rsid w:val="007A683B"/>
    <w:rsid w:val="007A7172"/>
    <w:rsid w:val="007B002C"/>
    <w:rsid w:val="007B00DE"/>
    <w:rsid w:val="007B0D02"/>
    <w:rsid w:val="007B0FD5"/>
    <w:rsid w:val="007B1602"/>
    <w:rsid w:val="007B19F4"/>
    <w:rsid w:val="007B1D56"/>
    <w:rsid w:val="007B1E62"/>
    <w:rsid w:val="007B3104"/>
    <w:rsid w:val="007B3BF2"/>
    <w:rsid w:val="007B5A39"/>
    <w:rsid w:val="007B5F65"/>
    <w:rsid w:val="007B628B"/>
    <w:rsid w:val="007B6BA5"/>
    <w:rsid w:val="007B79D4"/>
    <w:rsid w:val="007B7EC0"/>
    <w:rsid w:val="007C12F0"/>
    <w:rsid w:val="007C203A"/>
    <w:rsid w:val="007C2B38"/>
    <w:rsid w:val="007C2F22"/>
    <w:rsid w:val="007C3108"/>
    <w:rsid w:val="007C3390"/>
    <w:rsid w:val="007C3829"/>
    <w:rsid w:val="007C3A7C"/>
    <w:rsid w:val="007C3FFB"/>
    <w:rsid w:val="007C4610"/>
    <w:rsid w:val="007C485E"/>
    <w:rsid w:val="007C4A8B"/>
    <w:rsid w:val="007C4F4B"/>
    <w:rsid w:val="007C5032"/>
    <w:rsid w:val="007C54C8"/>
    <w:rsid w:val="007C59F6"/>
    <w:rsid w:val="007C689E"/>
    <w:rsid w:val="007C77A0"/>
    <w:rsid w:val="007C7834"/>
    <w:rsid w:val="007C784F"/>
    <w:rsid w:val="007C7A0F"/>
    <w:rsid w:val="007C7C57"/>
    <w:rsid w:val="007C7CFC"/>
    <w:rsid w:val="007D0063"/>
    <w:rsid w:val="007D0797"/>
    <w:rsid w:val="007D0A0A"/>
    <w:rsid w:val="007D0D56"/>
    <w:rsid w:val="007D126C"/>
    <w:rsid w:val="007D2E32"/>
    <w:rsid w:val="007D3316"/>
    <w:rsid w:val="007D42B0"/>
    <w:rsid w:val="007D4480"/>
    <w:rsid w:val="007D4542"/>
    <w:rsid w:val="007D471F"/>
    <w:rsid w:val="007D4786"/>
    <w:rsid w:val="007D4D53"/>
    <w:rsid w:val="007D5026"/>
    <w:rsid w:val="007D5257"/>
    <w:rsid w:val="007D5803"/>
    <w:rsid w:val="007D6F9E"/>
    <w:rsid w:val="007D7687"/>
    <w:rsid w:val="007E01A6"/>
    <w:rsid w:val="007E0B2D"/>
    <w:rsid w:val="007E1318"/>
    <w:rsid w:val="007E16D9"/>
    <w:rsid w:val="007E1AD6"/>
    <w:rsid w:val="007E2411"/>
    <w:rsid w:val="007E3DF7"/>
    <w:rsid w:val="007E3E13"/>
    <w:rsid w:val="007E5179"/>
    <w:rsid w:val="007E565D"/>
    <w:rsid w:val="007E6316"/>
    <w:rsid w:val="007E6F98"/>
    <w:rsid w:val="007E7400"/>
    <w:rsid w:val="007F0D50"/>
    <w:rsid w:val="007F1247"/>
    <w:rsid w:val="007F1668"/>
    <w:rsid w:val="007F199F"/>
    <w:rsid w:val="007F19F5"/>
    <w:rsid w:val="007F1ADF"/>
    <w:rsid w:val="007F1B6D"/>
    <w:rsid w:val="007F1CBA"/>
    <w:rsid w:val="007F1E75"/>
    <w:rsid w:val="007F23B1"/>
    <w:rsid w:val="007F26EB"/>
    <w:rsid w:val="007F31D9"/>
    <w:rsid w:val="007F3A2C"/>
    <w:rsid w:val="007F451C"/>
    <w:rsid w:val="007F4588"/>
    <w:rsid w:val="007F4CBF"/>
    <w:rsid w:val="007F524C"/>
    <w:rsid w:val="007F5AA8"/>
    <w:rsid w:val="007F6611"/>
    <w:rsid w:val="007F6BEE"/>
    <w:rsid w:val="007F7246"/>
    <w:rsid w:val="007F75D2"/>
    <w:rsid w:val="007F7E17"/>
    <w:rsid w:val="0080063D"/>
    <w:rsid w:val="00800B31"/>
    <w:rsid w:val="00800EA9"/>
    <w:rsid w:val="0080108A"/>
    <w:rsid w:val="008035E8"/>
    <w:rsid w:val="008037E7"/>
    <w:rsid w:val="00803B68"/>
    <w:rsid w:val="00803EEC"/>
    <w:rsid w:val="00804E7F"/>
    <w:rsid w:val="00805522"/>
    <w:rsid w:val="00805AE6"/>
    <w:rsid w:val="00805B99"/>
    <w:rsid w:val="00806AAA"/>
    <w:rsid w:val="00806B55"/>
    <w:rsid w:val="008076A7"/>
    <w:rsid w:val="00807E76"/>
    <w:rsid w:val="00810588"/>
    <w:rsid w:val="008105B8"/>
    <w:rsid w:val="00810849"/>
    <w:rsid w:val="00810C74"/>
    <w:rsid w:val="00810FBA"/>
    <w:rsid w:val="008111BA"/>
    <w:rsid w:val="0081133E"/>
    <w:rsid w:val="00811D28"/>
    <w:rsid w:val="00812891"/>
    <w:rsid w:val="00812971"/>
    <w:rsid w:val="00812A11"/>
    <w:rsid w:val="00812D86"/>
    <w:rsid w:val="008131B7"/>
    <w:rsid w:val="0081367C"/>
    <w:rsid w:val="00813793"/>
    <w:rsid w:val="0081425B"/>
    <w:rsid w:val="00815109"/>
    <w:rsid w:val="0081534F"/>
    <w:rsid w:val="008159BC"/>
    <w:rsid w:val="00815ADE"/>
    <w:rsid w:val="00815C52"/>
    <w:rsid w:val="00815EBA"/>
    <w:rsid w:val="00816972"/>
    <w:rsid w:val="00816FCA"/>
    <w:rsid w:val="008173A4"/>
    <w:rsid w:val="0081741E"/>
    <w:rsid w:val="008174AC"/>
    <w:rsid w:val="0081770E"/>
    <w:rsid w:val="00817CF5"/>
    <w:rsid w:val="00820519"/>
    <w:rsid w:val="00820BE3"/>
    <w:rsid w:val="00821597"/>
    <w:rsid w:val="008216A5"/>
    <w:rsid w:val="00821A8D"/>
    <w:rsid w:val="008237FC"/>
    <w:rsid w:val="00823FAE"/>
    <w:rsid w:val="008242D7"/>
    <w:rsid w:val="00824BCD"/>
    <w:rsid w:val="00824F1B"/>
    <w:rsid w:val="0082554F"/>
    <w:rsid w:val="00825659"/>
    <w:rsid w:val="008257B1"/>
    <w:rsid w:val="00825F45"/>
    <w:rsid w:val="00826527"/>
    <w:rsid w:val="00826881"/>
    <w:rsid w:val="0082688A"/>
    <w:rsid w:val="00826E8E"/>
    <w:rsid w:val="00827317"/>
    <w:rsid w:val="00827496"/>
    <w:rsid w:val="008275E8"/>
    <w:rsid w:val="008276AC"/>
    <w:rsid w:val="008277D0"/>
    <w:rsid w:val="00827E6B"/>
    <w:rsid w:val="008304D8"/>
    <w:rsid w:val="00830F3B"/>
    <w:rsid w:val="00831021"/>
    <w:rsid w:val="008310C1"/>
    <w:rsid w:val="00832CC8"/>
    <w:rsid w:val="00833415"/>
    <w:rsid w:val="0083376F"/>
    <w:rsid w:val="008339C2"/>
    <w:rsid w:val="00833D51"/>
    <w:rsid w:val="00834523"/>
    <w:rsid w:val="00834953"/>
    <w:rsid w:val="008353B7"/>
    <w:rsid w:val="00835BBF"/>
    <w:rsid w:val="00836324"/>
    <w:rsid w:val="0083639C"/>
    <w:rsid w:val="00836B46"/>
    <w:rsid w:val="00837992"/>
    <w:rsid w:val="00837E88"/>
    <w:rsid w:val="00840104"/>
    <w:rsid w:val="0084035B"/>
    <w:rsid w:val="0084126F"/>
    <w:rsid w:val="00841306"/>
    <w:rsid w:val="008417F1"/>
    <w:rsid w:val="00841B91"/>
    <w:rsid w:val="00841C74"/>
    <w:rsid w:val="00841EB0"/>
    <w:rsid w:val="00841F02"/>
    <w:rsid w:val="00842595"/>
    <w:rsid w:val="00842D49"/>
    <w:rsid w:val="0084320C"/>
    <w:rsid w:val="00843441"/>
    <w:rsid w:val="00843767"/>
    <w:rsid w:val="00844419"/>
    <w:rsid w:val="008447A3"/>
    <w:rsid w:val="00844868"/>
    <w:rsid w:val="00844E35"/>
    <w:rsid w:val="00844EFD"/>
    <w:rsid w:val="00845096"/>
    <w:rsid w:val="00845953"/>
    <w:rsid w:val="00845C54"/>
    <w:rsid w:val="00845FA4"/>
    <w:rsid w:val="00846BF2"/>
    <w:rsid w:val="00846ED4"/>
    <w:rsid w:val="00847B24"/>
    <w:rsid w:val="00850B94"/>
    <w:rsid w:val="00850DF5"/>
    <w:rsid w:val="00850FEB"/>
    <w:rsid w:val="00851259"/>
    <w:rsid w:val="00851CAC"/>
    <w:rsid w:val="00851FCC"/>
    <w:rsid w:val="00852B57"/>
    <w:rsid w:val="008538BE"/>
    <w:rsid w:val="00854BA8"/>
    <w:rsid w:val="008559A0"/>
    <w:rsid w:val="00856699"/>
    <w:rsid w:val="00856D35"/>
    <w:rsid w:val="008578A1"/>
    <w:rsid w:val="008579E7"/>
    <w:rsid w:val="00857A64"/>
    <w:rsid w:val="00857E2C"/>
    <w:rsid w:val="00857F69"/>
    <w:rsid w:val="008606EC"/>
    <w:rsid w:val="00860A62"/>
    <w:rsid w:val="00860B10"/>
    <w:rsid w:val="008618F2"/>
    <w:rsid w:val="00862123"/>
    <w:rsid w:val="008621E0"/>
    <w:rsid w:val="00862362"/>
    <w:rsid w:val="00862EAF"/>
    <w:rsid w:val="0086442D"/>
    <w:rsid w:val="0086446B"/>
    <w:rsid w:val="00864EFF"/>
    <w:rsid w:val="008655A1"/>
    <w:rsid w:val="008655A9"/>
    <w:rsid w:val="0086595B"/>
    <w:rsid w:val="00866BA7"/>
    <w:rsid w:val="00866D75"/>
    <w:rsid w:val="0086770D"/>
    <w:rsid w:val="00867815"/>
    <w:rsid w:val="008678D8"/>
    <w:rsid w:val="008679D9"/>
    <w:rsid w:val="00870403"/>
    <w:rsid w:val="00870D51"/>
    <w:rsid w:val="00871051"/>
    <w:rsid w:val="008710BA"/>
    <w:rsid w:val="00871394"/>
    <w:rsid w:val="00871842"/>
    <w:rsid w:val="00872088"/>
    <w:rsid w:val="00873DB4"/>
    <w:rsid w:val="00874BB7"/>
    <w:rsid w:val="0087552D"/>
    <w:rsid w:val="00875B68"/>
    <w:rsid w:val="00875E66"/>
    <w:rsid w:val="00875FE5"/>
    <w:rsid w:val="00877133"/>
    <w:rsid w:val="008809FB"/>
    <w:rsid w:val="008817F2"/>
    <w:rsid w:val="0088209B"/>
    <w:rsid w:val="008821D0"/>
    <w:rsid w:val="00882368"/>
    <w:rsid w:val="00883948"/>
    <w:rsid w:val="00883D53"/>
    <w:rsid w:val="008840D5"/>
    <w:rsid w:val="00884110"/>
    <w:rsid w:val="00885013"/>
    <w:rsid w:val="0088518B"/>
    <w:rsid w:val="008851AB"/>
    <w:rsid w:val="008854BE"/>
    <w:rsid w:val="008858F7"/>
    <w:rsid w:val="00885F41"/>
    <w:rsid w:val="0088636B"/>
    <w:rsid w:val="00886766"/>
    <w:rsid w:val="00886B42"/>
    <w:rsid w:val="00886EE2"/>
    <w:rsid w:val="00887AC0"/>
    <w:rsid w:val="00887F22"/>
    <w:rsid w:val="0089139E"/>
    <w:rsid w:val="00891574"/>
    <w:rsid w:val="00891F45"/>
    <w:rsid w:val="00892CE9"/>
    <w:rsid w:val="00892F53"/>
    <w:rsid w:val="00893C44"/>
    <w:rsid w:val="00894419"/>
    <w:rsid w:val="008949CA"/>
    <w:rsid w:val="00894F8B"/>
    <w:rsid w:val="008952F9"/>
    <w:rsid w:val="00895853"/>
    <w:rsid w:val="00896C6A"/>
    <w:rsid w:val="00896E04"/>
    <w:rsid w:val="008979B1"/>
    <w:rsid w:val="008A0505"/>
    <w:rsid w:val="008A0D5A"/>
    <w:rsid w:val="008A1DB2"/>
    <w:rsid w:val="008A23D2"/>
    <w:rsid w:val="008A281C"/>
    <w:rsid w:val="008A2B09"/>
    <w:rsid w:val="008A33C7"/>
    <w:rsid w:val="008A36D0"/>
    <w:rsid w:val="008A3A4A"/>
    <w:rsid w:val="008A4520"/>
    <w:rsid w:val="008A4733"/>
    <w:rsid w:val="008A4969"/>
    <w:rsid w:val="008A4FD7"/>
    <w:rsid w:val="008A5196"/>
    <w:rsid w:val="008A5629"/>
    <w:rsid w:val="008A5AD8"/>
    <w:rsid w:val="008A61F6"/>
    <w:rsid w:val="008A624D"/>
    <w:rsid w:val="008A64C7"/>
    <w:rsid w:val="008A6B25"/>
    <w:rsid w:val="008A6C4F"/>
    <w:rsid w:val="008A7027"/>
    <w:rsid w:val="008A70CA"/>
    <w:rsid w:val="008A778A"/>
    <w:rsid w:val="008A782B"/>
    <w:rsid w:val="008A7870"/>
    <w:rsid w:val="008B1EE4"/>
    <w:rsid w:val="008B2335"/>
    <w:rsid w:val="008B2905"/>
    <w:rsid w:val="008B2E17"/>
    <w:rsid w:val="008B31DD"/>
    <w:rsid w:val="008B3803"/>
    <w:rsid w:val="008B502B"/>
    <w:rsid w:val="008B53C2"/>
    <w:rsid w:val="008B5E72"/>
    <w:rsid w:val="008B6178"/>
    <w:rsid w:val="008B7A4D"/>
    <w:rsid w:val="008C017D"/>
    <w:rsid w:val="008C0422"/>
    <w:rsid w:val="008C0AA6"/>
    <w:rsid w:val="008C0EDC"/>
    <w:rsid w:val="008C206E"/>
    <w:rsid w:val="008C395F"/>
    <w:rsid w:val="008C39D7"/>
    <w:rsid w:val="008C4727"/>
    <w:rsid w:val="008C4D70"/>
    <w:rsid w:val="008C4EDC"/>
    <w:rsid w:val="008C5887"/>
    <w:rsid w:val="008C5ED4"/>
    <w:rsid w:val="008C66C8"/>
    <w:rsid w:val="008C756C"/>
    <w:rsid w:val="008C763D"/>
    <w:rsid w:val="008C7DD3"/>
    <w:rsid w:val="008D05E8"/>
    <w:rsid w:val="008D0DC2"/>
    <w:rsid w:val="008D12F5"/>
    <w:rsid w:val="008D1459"/>
    <w:rsid w:val="008D1B15"/>
    <w:rsid w:val="008D20A1"/>
    <w:rsid w:val="008D2503"/>
    <w:rsid w:val="008D31B8"/>
    <w:rsid w:val="008D4189"/>
    <w:rsid w:val="008D4BF5"/>
    <w:rsid w:val="008D4D0B"/>
    <w:rsid w:val="008D4D1D"/>
    <w:rsid w:val="008D4DE1"/>
    <w:rsid w:val="008D52B1"/>
    <w:rsid w:val="008D5553"/>
    <w:rsid w:val="008D742C"/>
    <w:rsid w:val="008D7C7E"/>
    <w:rsid w:val="008D7E28"/>
    <w:rsid w:val="008E0104"/>
    <w:rsid w:val="008E0678"/>
    <w:rsid w:val="008E10A7"/>
    <w:rsid w:val="008E11F3"/>
    <w:rsid w:val="008E1567"/>
    <w:rsid w:val="008E1FE2"/>
    <w:rsid w:val="008E27EC"/>
    <w:rsid w:val="008E29F8"/>
    <w:rsid w:val="008E30D3"/>
    <w:rsid w:val="008E36FD"/>
    <w:rsid w:val="008E3C21"/>
    <w:rsid w:val="008E403F"/>
    <w:rsid w:val="008E4C4F"/>
    <w:rsid w:val="008E5A05"/>
    <w:rsid w:val="008E622B"/>
    <w:rsid w:val="008E6A47"/>
    <w:rsid w:val="008E7D8C"/>
    <w:rsid w:val="008E7F9E"/>
    <w:rsid w:val="008F1252"/>
    <w:rsid w:val="008F142A"/>
    <w:rsid w:val="008F186C"/>
    <w:rsid w:val="008F1D36"/>
    <w:rsid w:val="008F2171"/>
    <w:rsid w:val="008F2300"/>
    <w:rsid w:val="008F2587"/>
    <w:rsid w:val="008F261C"/>
    <w:rsid w:val="008F27FB"/>
    <w:rsid w:val="008F2BAD"/>
    <w:rsid w:val="008F3080"/>
    <w:rsid w:val="008F4A26"/>
    <w:rsid w:val="008F4AF5"/>
    <w:rsid w:val="008F4C04"/>
    <w:rsid w:val="008F5432"/>
    <w:rsid w:val="008F58C2"/>
    <w:rsid w:val="008F5C62"/>
    <w:rsid w:val="008F5EEA"/>
    <w:rsid w:val="008F6594"/>
    <w:rsid w:val="008F6A99"/>
    <w:rsid w:val="008F7838"/>
    <w:rsid w:val="00900012"/>
    <w:rsid w:val="009009A5"/>
    <w:rsid w:val="00900A9E"/>
    <w:rsid w:val="00900EB6"/>
    <w:rsid w:val="00901CCF"/>
    <w:rsid w:val="009022AE"/>
    <w:rsid w:val="0090237B"/>
    <w:rsid w:val="00902668"/>
    <w:rsid w:val="00902AC2"/>
    <w:rsid w:val="00902FE8"/>
    <w:rsid w:val="00903876"/>
    <w:rsid w:val="00903BF3"/>
    <w:rsid w:val="0090474C"/>
    <w:rsid w:val="00904F96"/>
    <w:rsid w:val="00907B2E"/>
    <w:rsid w:val="009100A1"/>
    <w:rsid w:val="00910E7A"/>
    <w:rsid w:val="00910F28"/>
    <w:rsid w:val="00910F40"/>
    <w:rsid w:val="00911303"/>
    <w:rsid w:val="00911530"/>
    <w:rsid w:val="00911D8C"/>
    <w:rsid w:val="00912256"/>
    <w:rsid w:val="00912284"/>
    <w:rsid w:val="009122A2"/>
    <w:rsid w:val="00912C08"/>
    <w:rsid w:val="00912E2B"/>
    <w:rsid w:val="00912F05"/>
    <w:rsid w:val="00912F7F"/>
    <w:rsid w:val="00913096"/>
    <w:rsid w:val="00913616"/>
    <w:rsid w:val="00913648"/>
    <w:rsid w:val="00913E67"/>
    <w:rsid w:val="00913F5E"/>
    <w:rsid w:val="00914096"/>
    <w:rsid w:val="009145A8"/>
    <w:rsid w:val="0091460C"/>
    <w:rsid w:val="009146F8"/>
    <w:rsid w:val="00914894"/>
    <w:rsid w:val="00914B6E"/>
    <w:rsid w:val="009152C3"/>
    <w:rsid w:val="00916567"/>
    <w:rsid w:val="009177E4"/>
    <w:rsid w:val="00921125"/>
    <w:rsid w:val="00921DC4"/>
    <w:rsid w:val="009223CA"/>
    <w:rsid w:val="009225F9"/>
    <w:rsid w:val="00922730"/>
    <w:rsid w:val="00922C6C"/>
    <w:rsid w:val="0092310E"/>
    <w:rsid w:val="009236A3"/>
    <w:rsid w:val="00923B5F"/>
    <w:rsid w:val="00923DDB"/>
    <w:rsid w:val="0092416E"/>
    <w:rsid w:val="00924B6E"/>
    <w:rsid w:val="00925343"/>
    <w:rsid w:val="00926BCC"/>
    <w:rsid w:val="009270B4"/>
    <w:rsid w:val="00930D71"/>
    <w:rsid w:val="0093131A"/>
    <w:rsid w:val="00932C84"/>
    <w:rsid w:val="00934034"/>
    <w:rsid w:val="00934596"/>
    <w:rsid w:val="00934813"/>
    <w:rsid w:val="0093571E"/>
    <w:rsid w:val="00935941"/>
    <w:rsid w:val="00936E2E"/>
    <w:rsid w:val="00937028"/>
    <w:rsid w:val="00940193"/>
    <w:rsid w:val="00940F93"/>
    <w:rsid w:val="00941630"/>
    <w:rsid w:val="00941767"/>
    <w:rsid w:val="00941AB8"/>
    <w:rsid w:val="00943430"/>
    <w:rsid w:val="00943FBA"/>
    <w:rsid w:val="009443C8"/>
    <w:rsid w:val="00944936"/>
    <w:rsid w:val="00944A05"/>
    <w:rsid w:val="00945994"/>
    <w:rsid w:val="00945A23"/>
    <w:rsid w:val="00945B59"/>
    <w:rsid w:val="00945E80"/>
    <w:rsid w:val="009478D3"/>
    <w:rsid w:val="009502AF"/>
    <w:rsid w:val="00950D90"/>
    <w:rsid w:val="00951522"/>
    <w:rsid w:val="00951A9F"/>
    <w:rsid w:val="00951EAC"/>
    <w:rsid w:val="0095209B"/>
    <w:rsid w:val="009521D9"/>
    <w:rsid w:val="00952427"/>
    <w:rsid w:val="009525B6"/>
    <w:rsid w:val="00952E0D"/>
    <w:rsid w:val="00953375"/>
    <w:rsid w:val="0095347F"/>
    <w:rsid w:val="00954086"/>
    <w:rsid w:val="00954276"/>
    <w:rsid w:val="00954DC1"/>
    <w:rsid w:val="00955194"/>
    <w:rsid w:val="009568BE"/>
    <w:rsid w:val="00956A6B"/>
    <w:rsid w:val="00957D0D"/>
    <w:rsid w:val="00960A31"/>
    <w:rsid w:val="009613A2"/>
    <w:rsid w:val="00962838"/>
    <w:rsid w:val="00962B63"/>
    <w:rsid w:val="00963343"/>
    <w:rsid w:val="00963F90"/>
    <w:rsid w:val="00964923"/>
    <w:rsid w:val="00964AD6"/>
    <w:rsid w:val="00964E2E"/>
    <w:rsid w:val="00965AA8"/>
    <w:rsid w:val="0096657F"/>
    <w:rsid w:val="009669EA"/>
    <w:rsid w:val="00966D7C"/>
    <w:rsid w:val="00967F59"/>
    <w:rsid w:val="009701C4"/>
    <w:rsid w:val="009706E3"/>
    <w:rsid w:val="00970844"/>
    <w:rsid w:val="00970A75"/>
    <w:rsid w:val="009717D9"/>
    <w:rsid w:val="00971C45"/>
    <w:rsid w:val="00972495"/>
    <w:rsid w:val="00973298"/>
    <w:rsid w:val="009732B5"/>
    <w:rsid w:val="0097352D"/>
    <w:rsid w:val="009735A8"/>
    <w:rsid w:val="009735EF"/>
    <w:rsid w:val="00973B67"/>
    <w:rsid w:val="00973CED"/>
    <w:rsid w:val="0097425B"/>
    <w:rsid w:val="00974EF5"/>
    <w:rsid w:val="00975230"/>
    <w:rsid w:val="00975C63"/>
    <w:rsid w:val="00975DC5"/>
    <w:rsid w:val="00975E5F"/>
    <w:rsid w:val="009760F3"/>
    <w:rsid w:val="00976C0D"/>
    <w:rsid w:val="00976D44"/>
    <w:rsid w:val="00976E02"/>
    <w:rsid w:val="009802BE"/>
    <w:rsid w:val="009802C2"/>
    <w:rsid w:val="00980333"/>
    <w:rsid w:val="009804B3"/>
    <w:rsid w:val="00980720"/>
    <w:rsid w:val="00980D7C"/>
    <w:rsid w:val="00981058"/>
    <w:rsid w:val="009812E7"/>
    <w:rsid w:val="00981DC3"/>
    <w:rsid w:val="00982BF5"/>
    <w:rsid w:val="0098303D"/>
    <w:rsid w:val="0098334D"/>
    <w:rsid w:val="0098348C"/>
    <w:rsid w:val="00983636"/>
    <w:rsid w:val="00983C0B"/>
    <w:rsid w:val="00983C17"/>
    <w:rsid w:val="00984621"/>
    <w:rsid w:val="00984D2E"/>
    <w:rsid w:val="00985506"/>
    <w:rsid w:val="009856B9"/>
    <w:rsid w:val="00985865"/>
    <w:rsid w:val="00985AAF"/>
    <w:rsid w:val="00985DBC"/>
    <w:rsid w:val="00985E36"/>
    <w:rsid w:val="00986721"/>
    <w:rsid w:val="00987EC8"/>
    <w:rsid w:val="00990941"/>
    <w:rsid w:val="009909F5"/>
    <w:rsid w:val="00991001"/>
    <w:rsid w:val="009917BC"/>
    <w:rsid w:val="009926AB"/>
    <w:rsid w:val="0099366E"/>
    <w:rsid w:val="00993A6D"/>
    <w:rsid w:val="00993D77"/>
    <w:rsid w:val="00993E0A"/>
    <w:rsid w:val="00994345"/>
    <w:rsid w:val="00994889"/>
    <w:rsid w:val="00995360"/>
    <w:rsid w:val="00995B42"/>
    <w:rsid w:val="0099650F"/>
    <w:rsid w:val="00996551"/>
    <w:rsid w:val="009965A0"/>
    <w:rsid w:val="00996723"/>
    <w:rsid w:val="009A01E5"/>
    <w:rsid w:val="009A0B5E"/>
    <w:rsid w:val="009A0E8D"/>
    <w:rsid w:val="009A1242"/>
    <w:rsid w:val="009A1452"/>
    <w:rsid w:val="009A1558"/>
    <w:rsid w:val="009A24F4"/>
    <w:rsid w:val="009A2B27"/>
    <w:rsid w:val="009A301E"/>
    <w:rsid w:val="009A3378"/>
    <w:rsid w:val="009A38DB"/>
    <w:rsid w:val="009A4174"/>
    <w:rsid w:val="009A46D6"/>
    <w:rsid w:val="009A5334"/>
    <w:rsid w:val="009A54E0"/>
    <w:rsid w:val="009A56EA"/>
    <w:rsid w:val="009A59BB"/>
    <w:rsid w:val="009A5C54"/>
    <w:rsid w:val="009A5E1E"/>
    <w:rsid w:val="009A5EF2"/>
    <w:rsid w:val="009A6499"/>
    <w:rsid w:val="009A6928"/>
    <w:rsid w:val="009A6988"/>
    <w:rsid w:val="009A6AB8"/>
    <w:rsid w:val="009A6FEF"/>
    <w:rsid w:val="009A7439"/>
    <w:rsid w:val="009A798B"/>
    <w:rsid w:val="009B0EFB"/>
    <w:rsid w:val="009B1FEB"/>
    <w:rsid w:val="009B26D5"/>
    <w:rsid w:val="009B26E7"/>
    <w:rsid w:val="009B2E5E"/>
    <w:rsid w:val="009B2E92"/>
    <w:rsid w:val="009B2EF2"/>
    <w:rsid w:val="009B3187"/>
    <w:rsid w:val="009B3B6D"/>
    <w:rsid w:val="009B424C"/>
    <w:rsid w:val="009B4302"/>
    <w:rsid w:val="009B4BEB"/>
    <w:rsid w:val="009B4C5A"/>
    <w:rsid w:val="009B4C73"/>
    <w:rsid w:val="009B4D64"/>
    <w:rsid w:val="009B4F45"/>
    <w:rsid w:val="009B5483"/>
    <w:rsid w:val="009C09BF"/>
    <w:rsid w:val="009C09DB"/>
    <w:rsid w:val="009C0CBB"/>
    <w:rsid w:val="009C14C4"/>
    <w:rsid w:val="009C1542"/>
    <w:rsid w:val="009C2C0D"/>
    <w:rsid w:val="009C2F9C"/>
    <w:rsid w:val="009C4805"/>
    <w:rsid w:val="009C49CD"/>
    <w:rsid w:val="009C4DE9"/>
    <w:rsid w:val="009C6AEC"/>
    <w:rsid w:val="009C6B5F"/>
    <w:rsid w:val="009C6F51"/>
    <w:rsid w:val="009C6F79"/>
    <w:rsid w:val="009C77E5"/>
    <w:rsid w:val="009C7A1C"/>
    <w:rsid w:val="009C7EFD"/>
    <w:rsid w:val="009D04AC"/>
    <w:rsid w:val="009D0B1B"/>
    <w:rsid w:val="009D1235"/>
    <w:rsid w:val="009D15DB"/>
    <w:rsid w:val="009D1A57"/>
    <w:rsid w:val="009D22A2"/>
    <w:rsid w:val="009D26D2"/>
    <w:rsid w:val="009D28AB"/>
    <w:rsid w:val="009D366B"/>
    <w:rsid w:val="009D38C7"/>
    <w:rsid w:val="009D3E18"/>
    <w:rsid w:val="009D448C"/>
    <w:rsid w:val="009D470E"/>
    <w:rsid w:val="009D4BB8"/>
    <w:rsid w:val="009D4FA3"/>
    <w:rsid w:val="009D5361"/>
    <w:rsid w:val="009D538B"/>
    <w:rsid w:val="009D53FB"/>
    <w:rsid w:val="009D5673"/>
    <w:rsid w:val="009D58C3"/>
    <w:rsid w:val="009D68A6"/>
    <w:rsid w:val="009D6A7E"/>
    <w:rsid w:val="009D7262"/>
    <w:rsid w:val="009D7380"/>
    <w:rsid w:val="009D7894"/>
    <w:rsid w:val="009D7E85"/>
    <w:rsid w:val="009E060B"/>
    <w:rsid w:val="009E0816"/>
    <w:rsid w:val="009E0B98"/>
    <w:rsid w:val="009E11CB"/>
    <w:rsid w:val="009E16D2"/>
    <w:rsid w:val="009E179D"/>
    <w:rsid w:val="009E28F1"/>
    <w:rsid w:val="009E2F54"/>
    <w:rsid w:val="009E445F"/>
    <w:rsid w:val="009E4B79"/>
    <w:rsid w:val="009E5242"/>
    <w:rsid w:val="009E5673"/>
    <w:rsid w:val="009E5B89"/>
    <w:rsid w:val="009E6489"/>
    <w:rsid w:val="009E6A7F"/>
    <w:rsid w:val="009E6CCC"/>
    <w:rsid w:val="009E79B7"/>
    <w:rsid w:val="009E7D26"/>
    <w:rsid w:val="009F05AC"/>
    <w:rsid w:val="009F073B"/>
    <w:rsid w:val="009F1FC7"/>
    <w:rsid w:val="009F214B"/>
    <w:rsid w:val="009F2168"/>
    <w:rsid w:val="009F27EA"/>
    <w:rsid w:val="009F2AC1"/>
    <w:rsid w:val="009F3272"/>
    <w:rsid w:val="009F3A5D"/>
    <w:rsid w:val="009F3B4D"/>
    <w:rsid w:val="009F3EFB"/>
    <w:rsid w:val="009F424E"/>
    <w:rsid w:val="009F4906"/>
    <w:rsid w:val="009F5D91"/>
    <w:rsid w:val="009F5E55"/>
    <w:rsid w:val="009F6B04"/>
    <w:rsid w:val="009F6E7C"/>
    <w:rsid w:val="009F7054"/>
    <w:rsid w:val="009F7069"/>
    <w:rsid w:val="009F72A2"/>
    <w:rsid w:val="009F7AED"/>
    <w:rsid w:val="009F7E0D"/>
    <w:rsid w:val="00A00238"/>
    <w:rsid w:val="00A00A3F"/>
    <w:rsid w:val="00A013A8"/>
    <w:rsid w:val="00A01489"/>
    <w:rsid w:val="00A020ED"/>
    <w:rsid w:val="00A02667"/>
    <w:rsid w:val="00A030AB"/>
    <w:rsid w:val="00A030E4"/>
    <w:rsid w:val="00A036B3"/>
    <w:rsid w:val="00A05C22"/>
    <w:rsid w:val="00A05F20"/>
    <w:rsid w:val="00A05FCE"/>
    <w:rsid w:val="00A0617A"/>
    <w:rsid w:val="00A064A7"/>
    <w:rsid w:val="00A069BB"/>
    <w:rsid w:val="00A07872"/>
    <w:rsid w:val="00A10474"/>
    <w:rsid w:val="00A10634"/>
    <w:rsid w:val="00A10743"/>
    <w:rsid w:val="00A11654"/>
    <w:rsid w:val="00A11A0C"/>
    <w:rsid w:val="00A11AD7"/>
    <w:rsid w:val="00A11DCE"/>
    <w:rsid w:val="00A1231F"/>
    <w:rsid w:val="00A12518"/>
    <w:rsid w:val="00A1306D"/>
    <w:rsid w:val="00A130FE"/>
    <w:rsid w:val="00A13225"/>
    <w:rsid w:val="00A13430"/>
    <w:rsid w:val="00A134D6"/>
    <w:rsid w:val="00A13BEC"/>
    <w:rsid w:val="00A148B9"/>
    <w:rsid w:val="00A14AB1"/>
    <w:rsid w:val="00A14D3B"/>
    <w:rsid w:val="00A15261"/>
    <w:rsid w:val="00A1565B"/>
    <w:rsid w:val="00A15A08"/>
    <w:rsid w:val="00A16593"/>
    <w:rsid w:val="00A16E7D"/>
    <w:rsid w:val="00A17383"/>
    <w:rsid w:val="00A174A7"/>
    <w:rsid w:val="00A176A5"/>
    <w:rsid w:val="00A1776E"/>
    <w:rsid w:val="00A17C68"/>
    <w:rsid w:val="00A17CF1"/>
    <w:rsid w:val="00A17E55"/>
    <w:rsid w:val="00A17EF3"/>
    <w:rsid w:val="00A206D4"/>
    <w:rsid w:val="00A21615"/>
    <w:rsid w:val="00A225C6"/>
    <w:rsid w:val="00A22675"/>
    <w:rsid w:val="00A230A0"/>
    <w:rsid w:val="00A231F2"/>
    <w:rsid w:val="00A23522"/>
    <w:rsid w:val="00A23D3A"/>
    <w:rsid w:val="00A251EE"/>
    <w:rsid w:val="00A254D0"/>
    <w:rsid w:val="00A2560F"/>
    <w:rsid w:val="00A2561D"/>
    <w:rsid w:val="00A25E9B"/>
    <w:rsid w:val="00A25E9F"/>
    <w:rsid w:val="00A262B7"/>
    <w:rsid w:val="00A263AD"/>
    <w:rsid w:val="00A266D4"/>
    <w:rsid w:val="00A2698E"/>
    <w:rsid w:val="00A26EC6"/>
    <w:rsid w:val="00A27645"/>
    <w:rsid w:val="00A27D0E"/>
    <w:rsid w:val="00A30516"/>
    <w:rsid w:val="00A30579"/>
    <w:rsid w:val="00A3125E"/>
    <w:rsid w:val="00A312A2"/>
    <w:rsid w:val="00A31B81"/>
    <w:rsid w:val="00A31DC8"/>
    <w:rsid w:val="00A32CA5"/>
    <w:rsid w:val="00A331FE"/>
    <w:rsid w:val="00A3327B"/>
    <w:rsid w:val="00A33679"/>
    <w:rsid w:val="00A338F1"/>
    <w:rsid w:val="00A33BB4"/>
    <w:rsid w:val="00A33D77"/>
    <w:rsid w:val="00A34595"/>
    <w:rsid w:val="00A3481A"/>
    <w:rsid w:val="00A357D5"/>
    <w:rsid w:val="00A35C1B"/>
    <w:rsid w:val="00A3602C"/>
    <w:rsid w:val="00A36182"/>
    <w:rsid w:val="00A36331"/>
    <w:rsid w:val="00A36A62"/>
    <w:rsid w:val="00A36BE3"/>
    <w:rsid w:val="00A37042"/>
    <w:rsid w:val="00A37164"/>
    <w:rsid w:val="00A37DD8"/>
    <w:rsid w:val="00A401FC"/>
    <w:rsid w:val="00A402B4"/>
    <w:rsid w:val="00A40407"/>
    <w:rsid w:val="00A409A6"/>
    <w:rsid w:val="00A40EB4"/>
    <w:rsid w:val="00A40FA1"/>
    <w:rsid w:val="00A412B5"/>
    <w:rsid w:val="00A41460"/>
    <w:rsid w:val="00A4192B"/>
    <w:rsid w:val="00A424D1"/>
    <w:rsid w:val="00A4392A"/>
    <w:rsid w:val="00A43BA8"/>
    <w:rsid w:val="00A43C4F"/>
    <w:rsid w:val="00A43CB7"/>
    <w:rsid w:val="00A44615"/>
    <w:rsid w:val="00A447BF"/>
    <w:rsid w:val="00A45036"/>
    <w:rsid w:val="00A45DB8"/>
    <w:rsid w:val="00A46268"/>
    <w:rsid w:val="00A469AF"/>
    <w:rsid w:val="00A4722B"/>
    <w:rsid w:val="00A47396"/>
    <w:rsid w:val="00A4753A"/>
    <w:rsid w:val="00A50528"/>
    <w:rsid w:val="00A50EFE"/>
    <w:rsid w:val="00A50F81"/>
    <w:rsid w:val="00A511BB"/>
    <w:rsid w:val="00A5165D"/>
    <w:rsid w:val="00A5243A"/>
    <w:rsid w:val="00A525D9"/>
    <w:rsid w:val="00A53673"/>
    <w:rsid w:val="00A53E0D"/>
    <w:rsid w:val="00A544C9"/>
    <w:rsid w:val="00A55F52"/>
    <w:rsid w:val="00A56253"/>
    <w:rsid w:val="00A56779"/>
    <w:rsid w:val="00A5677E"/>
    <w:rsid w:val="00A56B29"/>
    <w:rsid w:val="00A57155"/>
    <w:rsid w:val="00A57805"/>
    <w:rsid w:val="00A578F9"/>
    <w:rsid w:val="00A603F8"/>
    <w:rsid w:val="00A6098E"/>
    <w:rsid w:val="00A60E9F"/>
    <w:rsid w:val="00A61C83"/>
    <w:rsid w:val="00A622BD"/>
    <w:rsid w:val="00A625D1"/>
    <w:rsid w:val="00A62670"/>
    <w:rsid w:val="00A63561"/>
    <w:rsid w:val="00A638E4"/>
    <w:rsid w:val="00A63E7F"/>
    <w:rsid w:val="00A653D6"/>
    <w:rsid w:val="00A65586"/>
    <w:rsid w:val="00A66ABA"/>
    <w:rsid w:val="00A66B9C"/>
    <w:rsid w:val="00A66E94"/>
    <w:rsid w:val="00A674AA"/>
    <w:rsid w:val="00A70013"/>
    <w:rsid w:val="00A703CE"/>
    <w:rsid w:val="00A70453"/>
    <w:rsid w:val="00A708BB"/>
    <w:rsid w:val="00A70B9B"/>
    <w:rsid w:val="00A70F76"/>
    <w:rsid w:val="00A710E2"/>
    <w:rsid w:val="00A7118A"/>
    <w:rsid w:val="00A71B51"/>
    <w:rsid w:val="00A72262"/>
    <w:rsid w:val="00A7276C"/>
    <w:rsid w:val="00A72D0A"/>
    <w:rsid w:val="00A72F22"/>
    <w:rsid w:val="00A7360F"/>
    <w:rsid w:val="00A739AD"/>
    <w:rsid w:val="00A73EDD"/>
    <w:rsid w:val="00A743B1"/>
    <w:rsid w:val="00A74404"/>
    <w:rsid w:val="00A748A6"/>
    <w:rsid w:val="00A74F53"/>
    <w:rsid w:val="00A74FA4"/>
    <w:rsid w:val="00A75355"/>
    <w:rsid w:val="00A75B60"/>
    <w:rsid w:val="00A75F30"/>
    <w:rsid w:val="00A76017"/>
    <w:rsid w:val="00A769F4"/>
    <w:rsid w:val="00A76C4D"/>
    <w:rsid w:val="00A77016"/>
    <w:rsid w:val="00A776B4"/>
    <w:rsid w:val="00A812B7"/>
    <w:rsid w:val="00A81A92"/>
    <w:rsid w:val="00A81F02"/>
    <w:rsid w:val="00A82504"/>
    <w:rsid w:val="00A8255A"/>
    <w:rsid w:val="00A836FB"/>
    <w:rsid w:val="00A83AE6"/>
    <w:rsid w:val="00A83EB9"/>
    <w:rsid w:val="00A83F82"/>
    <w:rsid w:val="00A84ED8"/>
    <w:rsid w:val="00A85674"/>
    <w:rsid w:val="00A86BD0"/>
    <w:rsid w:val="00A86F19"/>
    <w:rsid w:val="00A871D5"/>
    <w:rsid w:val="00A8780F"/>
    <w:rsid w:val="00A87811"/>
    <w:rsid w:val="00A87A1B"/>
    <w:rsid w:val="00A87E80"/>
    <w:rsid w:val="00A9013F"/>
    <w:rsid w:val="00A90C5B"/>
    <w:rsid w:val="00A90E23"/>
    <w:rsid w:val="00A91499"/>
    <w:rsid w:val="00A91943"/>
    <w:rsid w:val="00A921D2"/>
    <w:rsid w:val="00A926E3"/>
    <w:rsid w:val="00A94361"/>
    <w:rsid w:val="00A94EB5"/>
    <w:rsid w:val="00A956EB"/>
    <w:rsid w:val="00A95984"/>
    <w:rsid w:val="00A95AD8"/>
    <w:rsid w:val="00A96457"/>
    <w:rsid w:val="00A9645B"/>
    <w:rsid w:val="00A9666F"/>
    <w:rsid w:val="00A96FC0"/>
    <w:rsid w:val="00AA002B"/>
    <w:rsid w:val="00AA0619"/>
    <w:rsid w:val="00AA0647"/>
    <w:rsid w:val="00AA06A9"/>
    <w:rsid w:val="00AA0F58"/>
    <w:rsid w:val="00AA1002"/>
    <w:rsid w:val="00AA145D"/>
    <w:rsid w:val="00AA18CA"/>
    <w:rsid w:val="00AA1C3A"/>
    <w:rsid w:val="00AA1DA8"/>
    <w:rsid w:val="00AA2468"/>
    <w:rsid w:val="00AA293C"/>
    <w:rsid w:val="00AA2D0D"/>
    <w:rsid w:val="00AA2E87"/>
    <w:rsid w:val="00AA32C4"/>
    <w:rsid w:val="00AA336F"/>
    <w:rsid w:val="00AA396F"/>
    <w:rsid w:val="00AA42C6"/>
    <w:rsid w:val="00AA4BE6"/>
    <w:rsid w:val="00AA4F43"/>
    <w:rsid w:val="00AA6867"/>
    <w:rsid w:val="00AB02C0"/>
    <w:rsid w:val="00AB19FA"/>
    <w:rsid w:val="00AB1C1B"/>
    <w:rsid w:val="00AB24B7"/>
    <w:rsid w:val="00AB3704"/>
    <w:rsid w:val="00AB3A81"/>
    <w:rsid w:val="00AB4D6E"/>
    <w:rsid w:val="00AB4E1A"/>
    <w:rsid w:val="00AB5043"/>
    <w:rsid w:val="00AB509F"/>
    <w:rsid w:val="00AB51AF"/>
    <w:rsid w:val="00AB5649"/>
    <w:rsid w:val="00AB5D75"/>
    <w:rsid w:val="00AB5FED"/>
    <w:rsid w:val="00AB6030"/>
    <w:rsid w:val="00AB6C3A"/>
    <w:rsid w:val="00AB7523"/>
    <w:rsid w:val="00AB7C6D"/>
    <w:rsid w:val="00AC00DB"/>
    <w:rsid w:val="00AC012B"/>
    <w:rsid w:val="00AC0327"/>
    <w:rsid w:val="00AC03E4"/>
    <w:rsid w:val="00AC0A14"/>
    <w:rsid w:val="00AC1844"/>
    <w:rsid w:val="00AC193F"/>
    <w:rsid w:val="00AC22B0"/>
    <w:rsid w:val="00AC265E"/>
    <w:rsid w:val="00AC290E"/>
    <w:rsid w:val="00AC2BDE"/>
    <w:rsid w:val="00AC4473"/>
    <w:rsid w:val="00AC456B"/>
    <w:rsid w:val="00AC4840"/>
    <w:rsid w:val="00AC63A2"/>
    <w:rsid w:val="00AC645E"/>
    <w:rsid w:val="00AC647E"/>
    <w:rsid w:val="00AC6E8A"/>
    <w:rsid w:val="00AC72E3"/>
    <w:rsid w:val="00AD0DB6"/>
    <w:rsid w:val="00AD0E64"/>
    <w:rsid w:val="00AD0F27"/>
    <w:rsid w:val="00AD10F3"/>
    <w:rsid w:val="00AD1591"/>
    <w:rsid w:val="00AD168A"/>
    <w:rsid w:val="00AD1C54"/>
    <w:rsid w:val="00AD1EA3"/>
    <w:rsid w:val="00AD2A5C"/>
    <w:rsid w:val="00AD381E"/>
    <w:rsid w:val="00AD46B8"/>
    <w:rsid w:val="00AD562F"/>
    <w:rsid w:val="00AD59CF"/>
    <w:rsid w:val="00AD6368"/>
    <w:rsid w:val="00AD6EA8"/>
    <w:rsid w:val="00AD742E"/>
    <w:rsid w:val="00AD784F"/>
    <w:rsid w:val="00AD7999"/>
    <w:rsid w:val="00AD7B9B"/>
    <w:rsid w:val="00AD7FC3"/>
    <w:rsid w:val="00AE0215"/>
    <w:rsid w:val="00AE24EF"/>
    <w:rsid w:val="00AE24FE"/>
    <w:rsid w:val="00AE2860"/>
    <w:rsid w:val="00AE2A93"/>
    <w:rsid w:val="00AE3157"/>
    <w:rsid w:val="00AE3267"/>
    <w:rsid w:val="00AE3DD6"/>
    <w:rsid w:val="00AE3F13"/>
    <w:rsid w:val="00AE457A"/>
    <w:rsid w:val="00AE5108"/>
    <w:rsid w:val="00AE7B4D"/>
    <w:rsid w:val="00AE7D1B"/>
    <w:rsid w:val="00AE7EB5"/>
    <w:rsid w:val="00AF01E1"/>
    <w:rsid w:val="00AF0C5D"/>
    <w:rsid w:val="00AF10FC"/>
    <w:rsid w:val="00AF17EC"/>
    <w:rsid w:val="00AF1A44"/>
    <w:rsid w:val="00AF1B69"/>
    <w:rsid w:val="00AF1E8E"/>
    <w:rsid w:val="00AF37C6"/>
    <w:rsid w:val="00AF394D"/>
    <w:rsid w:val="00AF3EFB"/>
    <w:rsid w:val="00AF5333"/>
    <w:rsid w:val="00AF556C"/>
    <w:rsid w:val="00AF5CCF"/>
    <w:rsid w:val="00AF5FEF"/>
    <w:rsid w:val="00AF6C3B"/>
    <w:rsid w:val="00AF6E18"/>
    <w:rsid w:val="00AF73B7"/>
    <w:rsid w:val="00B00614"/>
    <w:rsid w:val="00B00E6F"/>
    <w:rsid w:val="00B0160A"/>
    <w:rsid w:val="00B019E3"/>
    <w:rsid w:val="00B01A63"/>
    <w:rsid w:val="00B01BFE"/>
    <w:rsid w:val="00B01D9E"/>
    <w:rsid w:val="00B0282C"/>
    <w:rsid w:val="00B02BAA"/>
    <w:rsid w:val="00B033CC"/>
    <w:rsid w:val="00B041EB"/>
    <w:rsid w:val="00B04369"/>
    <w:rsid w:val="00B043A4"/>
    <w:rsid w:val="00B04543"/>
    <w:rsid w:val="00B04F20"/>
    <w:rsid w:val="00B04F73"/>
    <w:rsid w:val="00B05023"/>
    <w:rsid w:val="00B05347"/>
    <w:rsid w:val="00B0557B"/>
    <w:rsid w:val="00B06D66"/>
    <w:rsid w:val="00B0745B"/>
    <w:rsid w:val="00B0783D"/>
    <w:rsid w:val="00B07A6A"/>
    <w:rsid w:val="00B1017E"/>
    <w:rsid w:val="00B104DD"/>
    <w:rsid w:val="00B11238"/>
    <w:rsid w:val="00B116A1"/>
    <w:rsid w:val="00B12BB4"/>
    <w:rsid w:val="00B12E15"/>
    <w:rsid w:val="00B12E1C"/>
    <w:rsid w:val="00B12F51"/>
    <w:rsid w:val="00B13433"/>
    <w:rsid w:val="00B13E9B"/>
    <w:rsid w:val="00B15181"/>
    <w:rsid w:val="00B15BFE"/>
    <w:rsid w:val="00B15DB7"/>
    <w:rsid w:val="00B1616C"/>
    <w:rsid w:val="00B17560"/>
    <w:rsid w:val="00B176FC"/>
    <w:rsid w:val="00B17E64"/>
    <w:rsid w:val="00B201CC"/>
    <w:rsid w:val="00B209A7"/>
    <w:rsid w:val="00B20B6A"/>
    <w:rsid w:val="00B20DD7"/>
    <w:rsid w:val="00B21369"/>
    <w:rsid w:val="00B2177C"/>
    <w:rsid w:val="00B21D79"/>
    <w:rsid w:val="00B2304B"/>
    <w:rsid w:val="00B2319C"/>
    <w:rsid w:val="00B234E3"/>
    <w:rsid w:val="00B23542"/>
    <w:rsid w:val="00B23D51"/>
    <w:rsid w:val="00B2413B"/>
    <w:rsid w:val="00B24DEF"/>
    <w:rsid w:val="00B251C4"/>
    <w:rsid w:val="00B25FA5"/>
    <w:rsid w:val="00B25FF5"/>
    <w:rsid w:val="00B267F2"/>
    <w:rsid w:val="00B26C5B"/>
    <w:rsid w:val="00B26FE3"/>
    <w:rsid w:val="00B27284"/>
    <w:rsid w:val="00B27298"/>
    <w:rsid w:val="00B2764C"/>
    <w:rsid w:val="00B30179"/>
    <w:rsid w:val="00B30600"/>
    <w:rsid w:val="00B30953"/>
    <w:rsid w:val="00B30A5E"/>
    <w:rsid w:val="00B30E78"/>
    <w:rsid w:val="00B323A0"/>
    <w:rsid w:val="00B323D9"/>
    <w:rsid w:val="00B3245C"/>
    <w:rsid w:val="00B32865"/>
    <w:rsid w:val="00B32DA4"/>
    <w:rsid w:val="00B33293"/>
    <w:rsid w:val="00B339A7"/>
    <w:rsid w:val="00B33D8D"/>
    <w:rsid w:val="00B33F29"/>
    <w:rsid w:val="00B3436F"/>
    <w:rsid w:val="00B34921"/>
    <w:rsid w:val="00B34A3F"/>
    <w:rsid w:val="00B34B5D"/>
    <w:rsid w:val="00B34F62"/>
    <w:rsid w:val="00B353C4"/>
    <w:rsid w:val="00B362D4"/>
    <w:rsid w:val="00B3695A"/>
    <w:rsid w:val="00B369CE"/>
    <w:rsid w:val="00B37064"/>
    <w:rsid w:val="00B3784A"/>
    <w:rsid w:val="00B3794C"/>
    <w:rsid w:val="00B37B28"/>
    <w:rsid w:val="00B37BAE"/>
    <w:rsid w:val="00B403A9"/>
    <w:rsid w:val="00B40459"/>
    <w:rsid w:val="00B41ACB"/>
    <w:rsid w:val="00B425EF"/>
    <w:rsid w:val="00B427FA"/>
    <w:rsid w:val="00B42A5E"/>
    <w:rsid w:val="00B4362D"/>
    <w:rsid w:val="00B43A0B"/>
    <w:rsid w:val="00B43C6A"/>
    <w:rsid w:val="00B44319"/>
    <w:rsid w:val="00B443E2"/>
    <w:rsid w:val="00B4533F"/>
    <w:rsid w:val="00B46096"/>
    <w:rsid w:val="00B4619D"/>
    <w:rsid w:val="00B4642F"/>
    <w:rsid w:val="00B4718F"/>
    <w:rsid w:val="00B47380"/>
    <w:rsid w:val="00B47D0C"/>
    <w:rsid w:val="00B5030E"/>
    <w:rsid w:val="00B50391"/>
    <w:rsid w:val="00B5092B"/>
    <w:rsid w:val="00B512C7"/>
    <w:rsid w:val="00B51568"/>
    <w:rsid w:val="00B515D4"/>
    <w:rsid w:val="00B533CA"/>
    <w:rsid w:val="00B53A3B"/>
    <w:rsid w:val="00B53FA3"/>
    <w:rsid w:val="00B54275"/>
    <w:rsid w:val="00B551D0"/>
    <w:rsid w:val="00B55E66"/>
    <w:rsid w:val="00B56151"/>
    <w:rsid w:val="00B56E4A"/>
    <w:rsid w:val="00B56E9C"/>
    <w:rsid w:val="00B56F42"/>
    <w:rsid w:val="00B60039"/>
    <w:rsid w:val="00B6004E"/>
    <w:rsid w:val="00B6066F"/>
    <w:rsid w:val="00B606B1"/>
    <w:rsid w:val="00B60748"/>
    <w:rsid w:val="00B60DA6"/>
    <w:rsid w:val="00B6111E"/>
    <w:rsid w:val="00B61E5D"/>
    <w:rsid w:val="00B623D3"/>
    <w:rsid w:val="00B626CD"/>
    <w:rsid w:val="00B62C87"/>
    <w:rsid w:val="00B62F27"/>
    <w:rsid w:val="00B6324C"/>
    <w:rsid w:val="00B63258"/>
    <w:rsid w:val="00B6380E"/>
    <w:rsid w:val="00B639A0"/>
    <w:rsid w:val="00B64B1F"/>
    <w:rsid w:val="00B6516A"/>
    <w:rsid w:val="00B654DC"/>
    <w:rsid w:val="00B6553F"/>
    <w:rsid w:val="00B655F1"/>
    <w:rsid w:val="00B65ADE"/>
    <w:rsid w:val="00B65D1D"/>
    <w:rsid w:val="00B66453"/>
    <w:rsid w:val="00B6652B"/>
    <w:rsid w:val="00B667B6"/>
    <w:rsid w:val="00B66CC8"/>
    <w:rsid w:val="00B66E5E"/>
    <w:rsid w:val="00B67067"/>
    <w:rsid w:val="00B6735D"/>
    <w:rsid w:val="00B67489"/>
    <w:rsid w:val="00B67C9C"/>
    <w:rsid w:val="00B705DA"/>
    <w:rsid w:val="00B716A0"/>
    <w:rsid w:val="00B72583"/>
    <w:rsid w:val="00B72711"/>
    <w:rsid w:val="00B72898"/>
    <w:rsid w:val="00B72FCD"/>
    <w:rsid w:val="00B73015"/>
    <w:rsid w:val="00B731DB"/>
    <w:rsid w:val="00B74560"/>
    <w:rsid w:val="00B74793"/>
    <w:rsid w:val="00B747C4"/>
    <w:rsid w:val="00B74FE8"/>
    <w:rsid w:val="00B75402"/>
    <w:rsid w:val="00B759E1"/>
    <w:rsid w:val="00B76007"/>
    <w:rsid w:val="00B77214"/>
    <w:rsid w:val="00B7789C"/>
    <w:rsid w:val="00B77D05"/>
    <w:rsid w:val="00B77EB1"/>
    <w:rsid w:val="00B80187"/>
    <w:rsid w:val="00B80283"/>
    <w:rsid w:val="00B804B2"/>
    <w:rsid w:val="00B80698"/>
    <w:rsid w:val="00B81202"/>
    <w:rsid w:val="00B81206"/>
    <w:rsid w:val="00B814D8"/>
    <w:rsid w:val="00B8199B"/>
    <w:rsid w:val="00B819BA"/>
    <w:rsid w:val="00B81D6F"/>
    <w:rsid w:val="00B81E12"/>
    <w:rsid w:val="00B8236D"/>
    <w:rsid w:val="00B82FFC"/>
    <w:rsid w:val="00B83A07"/>
    <w:rsid w:val="00B84C4B"/>
    <w:rsid w:val="00B84CBE"/>
    <w:rsid w:val="00B84D8C"/>
    <w:rsid w:val="00B84D94"/>
    <w:rsid w:val="00B857DE"/>
    <w:rsid w:val="00B866BD"/>
    <w:rsid w:val="00B869D1"/>
    <w:rsid w:val="00B86B1A"/>
    <w:rsid w:val="00B87450"/>
    <w:rsid w:val="00B874C1"/>
    <w:rsid w:val="00B878B3"/>
    <w:rsid w:val="00B879F3"/>
    <w:rsid w:val="00B87C36"/>
    <w:rsid w:val="00B901E4"/>
    <w:rsid w:val="00B90200"/>
    <w:rsid w:val="00B903F9"/>
    <w:rsid w:val="00B9067B"/>
    <w:rsid w:val="00B90AF0"/>
    <w:rsid w:val="00B9115F"/>
    <w:rsid w:val="00B911BE"/>
    <w:rsid w:val="00B925F6"/>
    <w:rsid w:val="00B92E01"/>
    <w:rsid w:val="00B92F53"/>
    <w:rsid w:val="00B9333B"/>
    <w:rsid w:val="00B93553"/>
    <w:rsid w:val="00B93B25"/>
    <w:rsid w:val="00B93F36"/>
    <w:rsid w:val="00B94491"/>
    <w:rsid w:val="00B95315"/>
    <w:rsid w:val="00B956AE"/>
    <w:rsid w:val="00B95BD3"/>
    <w:rsid w:val="00B96520"/>
    <w:rsid w:val="00B9675E"/>
    <w:rsid w:val="00B96941"/>
    <w:rsid w:val="00B97172"/>
    <w:rsid w:val="00B97940"/>
    <w:rsid w:val="00BA04F8"/>
    <w:rsid w:val="00BA0563"/>
    <w:rsid w:val="00BA0CA7"/>
    <w:rsid w:val="00BA0D22"/>
    <w:rsid w:val="00BA1537"/>
    <w:rsid w:val="00BA2226"/>
    <w:rsid w:val="00BA247A"/>
    <w:rsid w:val="00BA29D1"/>
    <w:rsid w:val="00BA2DA3"/>
    <w:rsid w:val="00BA34FB"/>
    <w:rsid w:val="00BA38F2"/>
    <w:rsid w:val="00BA3CAC"/>
    <w:rsid w:val="00BA4341"/>
    <w:rsid w:val="00BA4DC3"/>
    <w:rsid w:val="00BA4EFB"/>
    <w:rsid w:val="00BA6061"/>
    <w:rsid w:val="00BA7207"/>
    <w:rsid w:val="00BB016F"/>
    <w:rsid w:val="00BB0BD7"/>
    <w:rsid w:val="00BB123A"/>
    <w:rsid w:val="00BB15D7"/>
    <w:rsid w:val="00BB22D5"/>
    <w:rsid w:val="00BB2628"/>
    <w:rsid w:val="00BB2EA1"/>
    <w:rsid w:val="00BB37C3"/>
    <w:rsid w:val="00BB3B76"/>
    <w:rsid w:val="00BB4267"/>
    <w:rsid w:val="00BB5721"/>
    <w:rsid w:val="00BB577C"/>
    <w:rsid w:val="00BB5965"/>
    <w:rsid w:val="00BB6A43"/>
    <w:rsid w:val="00BB7A40"/>
    <w:rsid w:val="00BC01E3"/>
    <w:rsid w:val="00BC031A"/>
    <w:rsid w:val="00BC0576"/>
    <w:rsid w:val="00BC0910"/>
    <w:rsid w:val="00BC1248"/>
    <w:rsid w:val="00BC1C37"/>
    <w:rsid w:val="00BC1EEE"/>
    <w:rsid w:val="00BC2729"/>
    <w:rsid w:val="00BC282C"/>
    <w:rsid w:val="00BC298A"/>
    <w:rsid w:val="00BC2C23"/>
    <w:rsid w:val="00BC3411"/>
    <w:rsid w:val="00BC427F"/>
    <w:rsid w:val="00BC48F3"/>
    <w:rsid w:val="00BC4FA1"/>
    <w:rsid w:val="00BC550A"/>
    <w:rsid w:val="00BC550B"/>
    <w:rsid w:val="00BC5993"/>
    <w:rsid w:val="00BC5A8B"/>
    <w:rsid w:val="00BC6B1E"/>
    <w:rsid w:val="00BC70AB"/>
    <w:rsid w:val="00BC74E9"/>
    <w:rsid w:val="00BC76AE"/>
    <w:rsid w:val="00BC7C58"/>
    <w:rsid w:val="00BD035A"/>
    <w:rsid w:val="00BD0409"/>
    <w:rsid w:val="00BD2AEB"/>
    <w:rsid w:val="00BD2C2A"/>
    <w:rsid w:val="00BD31C9"/>
    <w:rsid w:val="00BD344B"/>
    <w:rsid w:val="00BD3A8C"/>
    <w:rsid w:val="00BD3CDE"/>
    <w:rsid w:val="00BD4234"/>
    <w:rsid w:val="00BD5009"/>
    <w:rsid w:val="00BD5057"/>
    <w:rsid w:val="00BD5132"/>
    <w:rsid w:val="00BD5209"/>
    <w:rsid w:val="00BD5242"/>
    <w:rsid w:val="00BD5DC8"/>
    <w:rsid w:val="00BD5EB3"/>
    <w:rsid w:val="00BD6759"/>
    <w:rsid w:val="00BD6763"/>
    <w:rsid w:val="00BD7128"/>
    <w:rsid w:val="00BD7228"/>
    <w:rsid w:val="00BD7BC8"/>
    <w:rsid w:val="00BD7EA8"/>
    <w:rsid w:val="00BD7FCB"/>
    <w:rsid w:val="00BE07C8"/>
    <w:rsid w:val="00BE0B12"/>
    <w:rsid w:val="00BE116C"/>
    <w:rsid w:val="00BE23D3"/>
    <w:rsid w:val="00BE2C31"/>
    <w:rsid w:val="00BE2F80"/>
    <w:rsid w:val="00BE3A3E"/>
    <w:rsid w:val="00BE3B46"/>
    <w:rsid w:val="00BE492F"/>
    <w:rsid w:val="00BE5AA8"/>
    <w:rsid w:val="00BE5BE9"/>
    <w:rsid w:val="00BE649F"/>
    <w:rsid w:val="00BE6682"/>
    <w:rsid w:val="00BE6C34"/>
    <w:rsid w:val="00BE7476"/>
    <w:rsid w:val="00BE76EE"/>
    <w:rsid w:val="00BE77FA"/>
    <w:rsid w:val="00BF08AA"/>
    <w:rsid w:val="00BF0969"/>
    <w:rsid w:val="00BF09D4"/>
    <w:rsid w:val="00BF0E18"/>
    <w:rsid w:val="00BF125E"/>
    <w:rsid w:val="00BF1D74"/>
    <w:rsid w:val="00BF33C5"/>
    <w:rsid w:val="00BF3D9D"/>
    <w:rsid w:val="00BF4A5D"/>
    <w:rsid w:val="00BF4AA2"/>
    <w:rsid w:val="00BF52CE"/>
    <w:rsid w:val="00BF5446"/>
    <w:rsid w:val="00BF5A65"/>
    <w:rsid w:val="00BF5AA6"/>
    <w:rsid w:val="00BF5F05"/>
    <w:rsid w:val="00BF5FC4"/>
    <w:rsid w:val="00BF68A8"/>
    <w:rsid w:val="00BF6D72"/>
    <w:rsid w:val="00BF6DBF"/>
    <w:rsid w:val="00BF71F0"/>
    <w:rsid w:val="00BF7A13"/>
    <w:rsid w:val="00C006A7"/>
    <w:rsid w:val="00C00A17"/>
    <w:rsid w:val="00C00A5E"/>
    <w:rsid w:val="00C00C44"/>
    <w:rsid w:val="00C0311A"/>
    <w:rsid w:val="00C033C4"/>
    <w:rsid w:val="00C03905"/>
    <w:rsid w:val="00C03EE7"/>
    <w:rsid w:val="00C05230"/>
    <w:rsid w:val="00C05944"/>
    <w:rsid w:val="00C07A8F"/>
    <w:rsid w:val="00C10464"/>
    <w:rsid w:val="00C109AB"/>
    <w:rsid w:val="00C1102C"/>
    <w:rsid w:val="00C11207"/>
    <w:rsid w:val="00C118F3"/>
    <w:rsid w:val="00C11A03"/>
    <w:rsid w:val="00C11CE8"/>
    <w:rsid w:val="00C12265"/>
    <w:rsid w:val="00C12980"/>
    <w:rsid w:val="00C1306F"/>
    <w:rsid w:val="00C13B55"/>
    <w:rsid w:val="00C140C4"/>
    <w:rsid w:val="00C147C3"/>
    <w:rsid w:val="00C14FD4"/>
    <w:rsid w:val="00C15217"/>
    <w:rsid w:val="00C154D2"/>
    <w:rsid w:val="00C15C4D"/>
    <w:rsid w:val="00C16605"/>
    <w:rsid w:val="00C167AB"/>
    <w:rsid w:val="00C176E9"/>
    <w:rsid w:val="00C178A8"/>
    <w:rsid w:val="00C209EC"/>
    <w:rsid w:val="00C20C68"/>
    <w:rsid w:val="00C20E37"/>
    <w:rsid w:val="00C20F67"/>
    <w:rsid w:val="00C20FF9"/>
    <w:rsid w:val="00C218F5"/>
    <w:rsid w:val="00C21C3A"/>
    <w:rsid w:val="00C21F99"/>
    <w:rsid w:val="00C227E8"/>
    <w:rsid w:val="00C2284D"/>
    <w:rsid w:val="00C237CB"/>
    <w:rsid w:val="00C239BB"/>
    <w:rsid w:val="00C23B31"/>
    <w:rsid w:val="00C23F29"/>
    <w:rsid w:val="00C24BD0"/>
    <w:rsid w:val="00C2507B"/>
    <w:rsid w:val="00C2617F"/>
    <w:rsid w:val="00C2623D"/>
    <w:rsid w:val="00C26519"/>
    <w:rsid w:val="00C268CF"/>
    <w:rsid w:val="00C2696E"/>
    <w:rsid w:val="00C2698D"/>
    <w:rsid w:val="00C27069"/>
    <w:rsid w:val="00C274A2"/>
    <w:rsid w:val="00C275AE"/>
    <w:rsid w:val="00C305CE"/>
    <w:rsid w:val="00C305FF"/>
    <w:rsid w:val="00C31235"/>
    <w:rsid w:val="00C3187F"/>
    <w:rsid w:val="00C31B1C"/>
    <w:rsid w:val="00C31D00"/>
    <w:rsid w:val="00C3279A"/>
    <w:rsid w:val="00C333CB"/>
    <w:rsid w:val="00C33936"/>
    <w:rsid w:val="00C34926"/>
    <w:rsid w:val="00C354A9"/>
    <w:rsid w:val="00C35D1F"/>
    <w:rsid w:val="00C35F0A"/>
    <w:rsid w:val="00C35FBB"/>
    <w:rsid w:val="00C36142"/>
    <w:rsid w:val="00C3683C"/>
    <w:rsid w:val="00C36C0E"/>
    <w:rsid w:val="00C36CA4"/>
    <w:rsid w:val="00C36E9A"/>
    <w:rsid w:val="00C37106"/>
    <w:rsid w:val="00C37550"/>
    <w:rsid w:val="00C376B2"/>
    <w:rsid w:val="00C37FD0"/>
    <w:rsid w:val="00C37FFA"/>
    <w:rsid w:val="00C40796"/>
    <w:rsid w:val="00C41957"/>
    <w:rsid w:val="00C41A9F"/>
    <w:rsid w:val="00C41BE0"/>
    <w:rsid w:val="00C425DA"/>
    <w:rsid w:val="00C4272B"/>
    <w:rsid w:val="00C4279B"/>
    <w:rsid w:val="00C42AEC"/>
    <w:rsid w:val="00C447B7"/>
    <w:rsid w:val="00C449B0"/>
    <w:rsid w:val="00C44D68"/>
    <w:rsid w:val="00C456AC"/>
    <w:rsid w:val="00C45B68"/>
    <w:rsid w:val="00C45FAA"/>
    <w:rsid w:val="00C463DD"/>
    <w:rsid w:val="00C46474"/>
    <w:rsid w:val="00C469EC"/>
    <w:rsid w:val="00C46A14"/>
    <w:rsid w:val="00C46D89"/>
    <w:rsid w:val="00C4723D"/>
    <w:rsid w:val="00C4724C"/>
    <w:rsid w:val="00C47F79"/>
    <w:rsid w:val="00C50057"/>
    <w:rsid w:val="00C50356"/>
    <w:rsid w:val="00C50FF6"/>
    <w:rsid w:val="00C51A88"/>
    <w:rsid w:val="00C51E34"/>
    <w:rsid w:val="00C52356"/>
    <w:rsid w:val="00C52F3D"/>
    <w:rsid w:val="00C539CA"/>
    <w:rsid w:val="00C539D4"/>
    <w:rsid w:val="00C53C1B"/>
    <w:rsid w:val="00C5489E"/>
    <w:rsid w:val="00C549A5"/>
    <w:rsid w:val="00C54DF3"/>
    <w:rsid w:val="00C54F73"/>
    <w:rsid w:val="00C55779"/>
    <w:rsid w:val="00C55CEF"/>
    <w:rsid w:val="00C55EC1"/>
    <w:rsid w:val="00C561E4"/>
    <w:rsid w:val="00C56BD1"/>
    <w:rsid w:val="00C56E75"/>
    <w:rsid w:val="00C56F44"/>
    <w:rsid w:val="00C57C43"/>
    <w:rsid w:val="00C6017C"/>
    <w:rsid w:val="00C606D3"/>
    <w:rsid w:val="00C60B61"/>
    <w:rsid w:val="00C60DDA"/>
    <w:rsid w:val="00C61F13"/>
    <w:rsid w:val="00C621B8"/>
    <w:rsid w:val="00C629A0"/>
    <w:rsid w:val="00C62BD5"/>
    <w:rsid w:val="00C631C8"/>
    <w:rsid w:val="00C63904"/>
    <w:rsid w:val="00C63B62"/>
    <w:rsid w:val="00C6402F"/>
    <w:rsid w:val="00C64105"/>
    <w:rsid w:val="00C6410D"/>
    <w:rsid w:val="00C64A07"/>
    <w:rsid w:val="00C65B67"/>
    <w:rsid w:val="00C65F90"/>
    <w:rsid w:val="00C6618C"/>
    <w:rsid w:val="00C6657C"/>
    <w:rsid w:val="00C6764B"/>
    <w:rsid w:val="00C67823"/>
    <w:rsid w:val="00C702EE"/>
    <w:rsid w:val="00C712D8"/>
    <w:rsid w:val="00C7385F"/>
    <w:rsid w:val="00C74502"/>
    <w:rsid w:val="00C745C3"/>
    <w:rsid w:val="00C7500D"/>
    <w:rsid w:val="00C764C9"/>
    <w:rsid w:val="00C76A94"/>
    <w:rsid w:val="00C7712C"/>
    <w:rsid w:val="00C77867"/>
    <w:rsid w:val="00C77C10"/>
    <w:rsid w:val="00C8006F"/>
    <w:rsid w:val="00C808D6"/>
    <w:rsid w:val="00C80CA7"/>
    <w:rsid w:val="00C80FE7"/>
    <w:rsid w:val="00C815DC"/>
    <w:rsid w:val="00C81983"/>
    <w:rsid w:val="00C81A10"/>
    <w:rsid w:val="00C82255"/>
    <w:rsid w:val="00C822D7"/>
    <w:rsid w:val="00C82416"/>
    <w:rsid w:val="00C82E7D"/>
    <w:rsid w:val="00C83B10"/>
    <w:rsid w:val="00C83E2E"/>
    <w:rsid w:val="00C846CC"/>
    <w:rsid w:val="00C84CB7"/>
    <w:rsid w:val="00C8504E"/>
    <w:rsid w:val="00C8561F"/>
    <w:rsid w:val="00C85883"/>
    <w:rsid w:val="00C861B0"/>
    <w:rsid w:val="00C866DB"/>
    <w:rsid w:val="00C86898"/>
    <w:rsid w:val="00C8792E"/>
    <w:rsid w:val="00C9045B"/>
    <w:rsid w:val="00C906E9"/>
    <w:rsid w:val="00C909F8"/>
    <w:rsid w:val="00C912AD"/>
    <w:rsid w:val="00C917A4"/>
    <w:rsid w:val="00C9183C"/>
    <w:rsid w:val="00C91BBB"/>
    <w:rsid w:val="00C92369"/>
    <w:rsid w:val="00C92763"/>
    <w:rsid w:val="00C934B4"/>
    <w:rsid w:val="00C94065"/>
    <w:rsid w:val="00C94281"/>
    <w:rsid w:val="00C94378"/>
    <w:rsid w:val="00C94BC7"/>
    <w:rsid w:val="00C95125"/>
    <w:rsid w:val="00C9609B"/>
    <w:rsid w:val="00C9683F"/>
    <w:rsid w:val="00C96D26"/>
    <w:rsid w:val="00C96EA4"/>
    <w:rsid w:val="00C97637"/>
    <w:rsid w:val="00CA02E6"/>
    <w:rsid w:val="00CA0B88"/>
    <w:rsid w:val="00CA2782"/>
    <w:rsid w:val="00CA33A8"/>
    <w:rsid w:val="00CA387B"/>
    <w:rsid w:val="00CA404B"/>
    <w:rsid w:val="00CA4542"/>
    <w:rsid w:val="00CA5082"/>
    <w:rsid w:val="00CA5522"/>
    <w:rsid w:val="00CA56DE"/>
    <w:rsid w:val="00CA5848"/>
    <w:rsid w:val="00CA5B39"/>
    <w:rsid w:val="00CA6F3D"/>
    <w:rsid w:val="00CA732E"/>
    <w:rsid w:val="00CA7C33"/>
    <w:rsid w:val="00CB06B3"/>
    <w:rsid w:val="00CB0706"/>
    <w:rsid w:val="00CB0994"/>
    <w:rsid w:val="00CB0B58"/>
    <w:rsid w:val="00CB0BA6"/>
    <w:rsid w:val="00CB1D44"/>
    <w:rsid w:val="00CB25DD"/>
    <w:rsid w:val="00CB2CED"/>
    <w:rsid w:val="00CB335D"/>
    <w:rsid w:val="00CB37CB"/>
    <w:rsid w:val="00CB3B4F"/>
    <w:rsid w:val="00CB3BEF"/>
    <w:rsid w:val="00CB4487"/>
    <w:rsid w:val="00CB44CF"/>
    <w:rsid w:val="00CB48AB"/>
    <w:rsid w:val="00CB50BF"/>
    <w:rsid w:val="00CB5DB8"/>
    <w:rsid w:val="00CB5EB5"/>
    <w:rsid w:val="00CB6C91"/>
    <w:rsid w:val="00CC118F"/>
    <w:rsid w:val="00CC120E"/>
    <w:rsid w:val="00CC13E3"/>
    <w:rsid w:val="00CC18C4"/>
    <w:rsid w:val="00CC1F58"/>
    <w:rsid w:val="00CC26FA"/>
    <w:rsid w:val="00CC2B74"/>
    <w:rsid w:val="00CC3E5C"/>
    <w:rsid w:val="00CC4C0C"/>
    <w:rsid w:val="00CC529F"/>
    <w:rsid w:val="00CC5336"/>
    <w:rsid w:val="00CC56C2"/>
    <w:rsid w:val="00CC5904"/>
    <w:rsid w:val="00CC59ED"/>
    <w:rsid w:val="00CC664C"/>
    <w:rsid w:val="00CC6B76"/>
    <w:rsid w:val="00CC7652"/>
    <w:rsid w:val="00CC766C"/>
    <w:rsid w:val="00CC79CD"/>
    <w:rsid w:val="00CD0C0B"/>
    <w:rsid w:val="00CD248F"/>
    <w:rsid w:val="00CD320D"/>
    <w:rsid w:val="00CD4D53"/>
    <w:rsid w:val="00CD4F1B"/>
    <w:rsid w:val="00CD5E8C"/>
    <w:rsid w:val="00CD6748"/>
    <w:rsid w:val="00CD6F25"/>
    <w:rsid w:val="00CD70B8"/>
    <w:rsid w:val="00CD747A"/>
    <w:rsid w:val="00CD75B9"/>
    <w:rsid w:val="00CD79B0"/>
    <w:rsid w:val="00CD7B3C"/>
    <w:rsid w:val="00CD7E12"/>
    <w:rsid w:val="00CE0B9A"/>
    <w:rsid w:val="00CE10A3"/>
    <w:rsid w:val="00CE10AA"/>
    <w:rsid w:val="00CE11DD"/>
    <w:rsid w:val="00CE1672"/>
    <w:rsid w:val="00CE170A"/>
    <w:rsid w:val="00CE1D0F"/>
    <w:rsid w:val="00CE204D"/>
    <w:rsid w:val="00CE2935"/>
    <w:rsid w:val="00CE2BEB"/>
    <w:rsid w:val="00CE2F92"/>
    <w:rsid w:val="00CE36DF"/>
    <w:rsid w:val="00CE38E4"/>
    <w:rsid w:val="00CE3E66"/>
    <w:rsid w:val="00CE41B3"/>
    <w:rsid w:val="00CE4904"/>
    <w:rsid w:val="00CE4A8F"/>
    <w:rsid w:val="00CE4D40"/>
    <w:rsid w:val="00CE4E35"/>
    <w:rsid w:val="00CE5846"/>
    <w:rsid w:val="00CE5BF6"/>
    <w:rsid w:val="00CE5F5D"/>
    <w:rsid w:val="00CE6782"/>
    <w:rsid w:val="00CF04BC"/>
    <w:rsid w:val="00CF0502"/>
    <w:rsid w:val="00CF18E7"/>
    <w:rsid w:val="00CF1A19"/>
    <w:rsid w:val="00CF2021"/>
    <w:rsid w:val="00CF21B3"/>
    <w:rsid w:val="00CF22F5"/>
    <w:rsid w:val="00CF2919"/>
    <w:rsid w:val="00CF2C0D"/>
    <w:rsid w:val="00CF2C2A"/>
    <w:rsid w:val="00CF350B"/>
    <w:rsid w:val="00CF3749"/>
    <w:rsid w:val="00CF4307"/>
    <w:rsid w:val="00CF4A17"/>
    <w:rsid w:val="00CF4CDA"/>
    <w:rsid w:val="00CF5603"/>
    <w:rsid w:val="00CF5EB3"/>
    <w:rsid w:val="00CF5FC6"/>
    <w:rsid w:val="00CF5FD9"/>
    <w:rsid w:val="00CF6255"/>
    <w:rsid w:val="00CF6F6A"/>
    <w:rsid w:val="00CF73BA"/>
    <w:rsid w:val="00CF76CE"/>
    <w:rsid w:val="00CF7B53"/>
    <w:rsid w:val="00CF7D0F"/>
    <w:rsid w:val="00D0009B"/>
    <w:rsid w:val="00D00C67"/>
    <w:rsid w:val="00D02168"/>
    <w:rsid w:val="00D02D5A"/>
    <w:rsid w:val="00D0338E"/>
    <w:rsid w:val="00D03440"/>
    <w:rsid w:val="00D0355C"/>
    <w:rsid w:val="00D035DC"/>
    <w:rsid w:val="00D03F13"/>
    <w:rsid w:val="00D04B04"/>
    <w:rsid w:val="00D0623D"/>
    <w:rsid w:val="00D066D3"/>
    <w:rsid w:val="00D06910"/>
    <w:rsid w:val="00D06EAB"/>
    <w:rsid w:val="00D07060"/>
    <w:rsid w:val="00D07163"/>
    <w:rsid w:val="00D07560"/>
    <w:rsid w:val="00D07F43"/>
    <w:rsid w:val="00D10734"/>
    <w:rsid w:val="00D107D6"/>
    <w:rsid w:val="00D1131C"/>
    <w:rsid w:val="00D1174B"/>
    <w:rsid w:val="00D11781"/>
    <w:rsid w:val="00D1266A"/>
    <w:rsid w:val="00D12AB5"/>
    <w:rsid w:val="00D1303C"/>
    <w:rsid w:val="00D141CF"/>
    <w:rsid w:val="00D15121"/>
    <w:rsid w:val="00D15F9A"/>
    <w:rsid w:val="00D16150"/>
    <w:rsid w:val="00D16E30"/>
    <w:rsid w:val="00D2031B"/>
    <w:rsid w:val="00D20705"/>
    <w:rsid w:val="00D2136B"/>
    <w:rsid w:val="00D213F2"/>
    <w:rsid w:val="00D21AD2"/>
    <w:rsid w:val="00D21E31"/>
    <w:rsid w:val="00D225A0"/>
    <w:rsid w:val="00D2276A"/>
    <w:rsid w:val="00D2305C"/>
    <w:rsid w:val="00D2311E"/>
    <w:rsid w:val="00D236D5"/>
    <w:rsid w:val="00D23AB3"/>
    <w:rsid w:val="00D23C28"/>
    <w:rsid w:val="00D24040"/>
    <w:rsid w:val="00D24509"/>
    <w:rsid w:val="00D2510A"/>
    <w:rsid w:val="00D25400"/>
    <w:rsid w:val="00D2541F"/>
    <w:rsid w:val="00D257E7"/>
    <w:rsid w:val="00D2583F"/>
    <w:rsid w:val="00D25C19"/>
    <w:rsid w:val="00D25EB7"/>
    <w:rsid w:val="00D25FE2"/>
    <w:rsid w:val="00D266C2"/>
    <w:rsid w:val="00D2672E"/>
    <w:rsid w:val="00D2688C"/>
    <w:rsid w:val="00D270C4"/>
    <w:rsid w:val="00D278B1"/>
    <w:rsid w:val="00D30EAF"/>
    <w:rsid w:val="00D310C3"/>
    <w:rsid w:val="00D314C1"/>
    <w:rsid w:val="00D315FE"/>
    <w:rsid w:val="00D31A42"/>
    <w:rsid w:val="00D31CD7"/>
    <w:rsid w:val="00D3323E"/>
    <w:rsid w:val="00D3327C"/>
    <w:rsid w:val="00D34326"/>
    <w:rsid w:val="00D34E31"/>
    <w:rsid w:val="00D354E1"/>
    <w:rsid w:val="00D35B1C"/>
    <w:rsid w:val="00D368E2"/>
    <w:rsid w:val="00D36E4C"/>
    <w:rsid w:val="00D36E80"/>
    <w:rsid w:val="00D36F55"/>
    <w:rsid w:val="00D377FC"/>
    <w:rsid w:val="00D37B00"/>
    <w:rsid w:val="00D406E0"/>
    <w:rsid w:val="00D41BF4"/>
    <w:rsid w:val="00D41FE9"/>
    <w:rsid w:val="00D42515"/>
    <w:rsid w:val="00D42855"/>
    <w:rsid w:val="00D429AC"/>
    <w:rsid w:val="00D42E65"/>
    <w:rsid w:val="00D431EB"/>
    <w:rsid w:val="00D43252"/>
    <w:rsid w:val="00D432EE"/>
    <w:rsid w:val="00D434FC"/>
    <w:rsid w:val="00D437B5"/>
    <w:rsid w:val="00D43856"/>
    <w:rsid w:val="00D4394C"/>
    <w:rsid w:val="00D43DBE"/>
    <w:rsid w:val="00D448B1"/>
    <w:rsid w:val="00D44FE1"/>
    <w:rsid w:val="00D45FBA"/>
    <w:rsid w:val="00D4602B"/>
    <w:rsid w:val="00D46327"/>
    <w:rsid w:val="00D4791F"/>
    <w:rsid w:val="00D47963"/>
    <w:rsid w:val="00D47B2C"/>
    <w:rsid w:val="00D47EEA"/>
    <w:rsid w:val="00D50A06"/>
    <w:rsid w:val="00D50C86"/>
    <w:rsid w:val="00D50E8D"/>
    <w:rsid w:val="00D50EE6"/>
    <w:rsid w:val="00D51081"/>
    <w:rsid w:val="00D51532"/>
    <w:rsid w:val="00D5167F"/>
    <w:rsid w:val="00D52EB3"/>
    <w:rsid w:val="00D52F47"/>
    <w:rsid w:val="00D53077"/>
    <w:rsid w:val="00D5326B"/>
    <w:rsid w:val="00D5373C"/>
    <w:rsid w:val="00D537C3"/>
    <w:rsid w:val="00D538C3"/>
    <w:rsid w:val="00D53CC8"/>
    <w:rsid w:val="00D54242"/>
    <w:rsid w:val="00D5452A"/>
    <w:rsid w:val="00D54BD1"/>
    <w:rsid w:val="00D55B6F"/>
    <w:rsid w:val="00D55F2B"/>
    <w:rsid w:val="00D5663B"/>
    <w:rsid w:val="00D56BB0"/>
    <w:rsid w:val="00D56CCE"/>
    <w:rsid w:val="00D57EDD"/>
    <w:rsid w:val="00D60A92"/>
    <w:rsid w:val="00D6107B"/>
    <w:rsid w:val="00D616B7"/>
    <w:rsid w:val="00D619CF"/>
    <w:rsid w:val="00D62346"/>
    <w:rsid w:val="00D6300E"/>
    <w:rsid w:val="00D642DD"/>
    <w:rsid w:val="00D6482A"/>
    <w:rsid w:val="00D64BAD"/>
    <w:rsid w:val="00D653F1"/>
    <w:rsid w:val="00D6612F"/>
    <w:rsid w:val="00D66975"/>
    <w:rsid w:val="00D67907"/>
    <w:rsid w:val="00D67D4F"/>
    <w:rsid w:val="00D700F0"/>
    <w:rsid w:val="00D70338"/>
    <w:rsid w:val="00D7056F"/>
    <w:rsid w:val="00D70A01"/>
    <w:rsid w:val="00D70E9D"/>
    <w:rsid w:val="00D70FE5"/>
    <w:rsid w:val="00D71146"/>
    <w:rsid w:val="00D71187"/>
    <w:rsid w:val="00D711EA"/>
    <w:rsid w:val="00D712FE"/>
    <w:rsid w:val="00D71436"/>
    <w:rsid w:val="00D715A3"/>
    <w:rsid w:val="00D72078"/>
    <w:rsid w:val="00D725AD"/>
    <w:rsid w:val="00D7541F"/>
    <w:rsid w:val="00D7565C"/>
    <w:rsid w:val="00D75A23"/>
    <w:rsid w:val="00D76449"/>
    <w:rsid w:val="00D76845"/>
    <w:rsid w:val="00D769C4"/>
    <w:rsid w:val="00D76EAA"/>
    <w:rsid w:val="00D776A2"/>
    <w:rsid w:val="00D80714"/>
    <w:rsid w:val="00D813B0"/>
    <w:rsid w:val="00D817CA"/>
    <w:rsid w:val="00D8328B"/>
    <w:rsid w:val="00D8338E"/>
    <w:rsid w:val="00D847F2"/>
    <w:rsid w:val="00D856C9"/>
    <w:rsid w:val="00D8586C"/>
    <w:rsid w:val="00D864EB"/>
    <w:rsid w:val="00D868D8"/>
    <w:rsid w:val="00D86D89"/>
    <w:rsid w:val="00D87784"/>
    <w:rsid w:val="00D87BC0"/>
    <w:rsid w:val="00D87C94"/>
    <w:rsid w:val="00D90984"/>
    <w:rsid w:val="00D90A8D"/>
    <w:rsid w:val="00D90F93"/>
    <w:rsid w:val="00D91281"/>
    <w:rsid w:val="00D91920"/>
    <w:rsid w:val="00D9204F"/>
    <w:rsid w:val="00D9212E"/>
    <w:rsid w:val="00D93310"/>
    <w:rsid w:val="00D93975"/>
    <w:rsid w:val="00D9432E"/>
    <w:rsid w:val="00D9486A"/>
    <w:rsid w:val="00D94AD0"/>
    <w:rsid w:val="00D95303"/>
    <w:rsid w:val="00D95895"/>
    <w:rsid w:val="00D95A82"/>
    <w:rsid w:val="00D95B8A"/>
    <w:rsid w:val="00D9757B"/>
    <w:rsid w:val="00D97685"/>
    <w:rsid w:val="00D978C6"/>
    <w:rsid w:val="00D97985"/>
    <w:rsid w:val="00D97B5E"/>
    <w:rsid w:val="00D97BCE"/>
    <w:rsid w:val="00DA0AD5"/>
    <w:rsid w:val="00DA12C2"/>
    <w:rsid w:val="00DA18FA"/>
    <w:rsid w:val="00DA1FF0"/>
    <w:rsid w:val="00DA2765"/>
    <w:rsid w:val="00DA3034"/>
    <w:rsid w:val="00DA3111"/>
    <w:rsid w:val="00DA3854"/>
    <w:rsid w:val="00DA3C1C"/>
    <w:rsid w:val="00DA3D6D"/>
    <w:rsid w:val="00DA3DC3"/>
    <w:rsid w:val="00DA478D"/>
    <w:rsid w:val="00DA49AA"/>
    <w:rsid w:val="00DA53E6"/>
    <w:rsid w:val="00DA5E01"/>
    <w:rsid w:val="00DA6B06"/>
    <w:rsid w:val="00DA7238"/>
    <w:rsid w:val="00DA7412"/>
    <w:rsid w:val="00DA764F"/>
    <w:rsid w:val="00DA778C"/>
    <w:rsid w:val="00DA7A19"/>
    <w:rsid w:val="00DB02DC"/>
    <w:rsid w:val="00DB087A"/>
    <w:rsid w:val="00DB0C79"/>
    <w:rsid w:val="00DB208A"/>
    <w:rsid w:val="00DB2356"/>
    <w:rsid w:val="00DB333D"/>
    <w:rsid w:val="00DB4D89"/>
    <w:rsid w:val="00DB5B2F"/>
    <w:rsid w:val="00DB6059"/>
    <w:rsid w:val="00DB6113"/>
    <w:rsid w:val="00DB6770"/>
    <w:rsid w:val="00DC10E2"/>
    <w:rsid w:val="00DC128E"/>
    <w:rsid w:val="00DC130F"/>
    <w:rsid w:val="00DC1F25"/>
    <w:rsid w:val="00DC283C"/>
    <w:rsid w:val="00DC290C"/>
    <w:rsid w:val="00DC2A3C"/>
    <w:rsid w:val="00DC3FC8"/>
    <w:rsid w:val="00DC4569"/>
    <w:rsid w:val="00DC4F03"/>
    <w:rsid w:val="00DC6046"/>
    <w:rsid w:val="00DC61B8"/>
    <w:rsid w:val="00DC6E39"/>
    <w:rsid w:val="00DC71FF"/>
    <w:rsid w:val="00DD013D"/>
    <w:rsid w:val="00DD0339"/>
    <w:rsid w:val="00DD048C"/>
    <w:rsid w:val="00DD0E9E"/>
    <w:rsid w:val="00DD1442"/>
    <w:rsid w:val="00DD1B10"/>
    <w:rsid w:val="00DD24B0"/>
    <w:rsid w:val="00DD2781"/>
    <w:rsid w:val="00DD2D5F"/>
    <w:rsid w:val="00DD2FEE"/>
    <w:rsid w:val="00DD3025"/>
    <w:rsid w:val="00DD3A92"/>
    <w:rsid w:val="00DD3D73"/>
    <w:rsid w:val="00DD4E78"/>
    <w:rsid w:val="00DD5083"/>
    <w:rsid w:val="00DD548E"/>
    <w:rsid w:val="00DD56C6"/>
    <w:rsid w:val="00DD5A5D"/>
    <w:rsid w:val="00DD6472"/>
    <w:rsid w:val="00DD6BFA"/>
    <w:rsid w:val="00DD785A"/>
    <w:rsid w:val="00DD78D7"/>
    <w:rsid w:val="00DD7BF1"/>
    <w:rsid w:val="00DE08D2"/>
    <w:rsid w:val="00DE1672"/>
    <w:rsid w:val="00DE1C96"/>
    <w:rsid w:val="00DE2552"/>
    <w:rsid w:val="00DE377A"/>
    <w:rsid w:val="00DE469D"/>
    <w:rsid w:val="00DE4BFA"/>
    <w:rsid w:val="00DE58EB"/>
    <w:rsid w:val="00DE59B2"/>
    <w:rsid w:val="00DE6231"/>
    <w:rsid w:val="00DE629B"/>
    <w:rsid w:val="00DE64BC"/>
    <w:rsid w:val="00DE6672"/>
    <w:rsid w:val="00DE6CC9"/>
    <w:rsid w:val="00DE6F8B"/>
    <w:rsid w:val="00DE79A8"/>
    <w:rsid w:val="00DE7D99"/>
    <w:rsid w:val="00DF0447"/>
    <w:rsid w:val="00DF0AA7"/>
    <w:rsid w:val="00DF117D"/>
    <w:rsid w:val="00DF146D"/>
    <w:rsid w:val="00DF1E57"/>
    <w:rsid w:val="00DF2452"/>
    <w:rsid w:val="00DF374D"/>
    <w:rsid w:val="00DF3D45"/>
    <w:rsid w:val="00DF3F04"/>
    <w:rsid w:val="00DF47B5"/>
    <w:rsid w:val="00DF4996"/>
    <w:rsid w:val="00DF50FB"/>
    <w:rsid w:val="00DF55A4"/>
    <w:rsid w:val="00DF5690"/>
    <w:rsid w:val="00DF56AC"/>
    <w:rsid w:val="00DF5756"/>
    <w:rsid w:val="00DF5A66"/>
    <w:rsid w:val="00DF5EFA"/>
    <w:rsid w:val="00DF67AC"/>
    <w:rsid w:val="00DF6C8D"/>
    <w:rsid w:val="00DF6E87"/>
    <w:rsid w:val="00DF6FBB"/>
    <w:rsid w:val="00DF740E"/>
    <w:rsid w:val="00E00715"/>
    <w:rsid w:val="00E011AF"/>
    <w:rsid w:val="00E012C9"/>
    <w:rsid w:val="00E01753"/>
    <w:rsid w:val="00E01D7C"/>
    <w:rsid w:val="00E01E5D"/>
    <w:rsid w:val="00E023C1"/>
    <w:rsid w:val="00E033D9"/>
    <w:rsid w:val="00E03511"/>
    <w:rsid w:val="00E03746"/>
    <w:rsid w:val="00E03890"/>
    <w:rsid w:val="00E03898"/>
    <w:rsid w:val="00E03B57"/>
    <w:rsid w:val="00E0462F"/>
    <w:rsid w:val="00E04FC4"/>
    <w:rsid w:val="00E053E1"/>
    <w:rsid w:val="00E05796"/>
    <w:rsid w:val="00E077F9"/>
    <w:rsid w:val="00E101BA"/>
    <w:rsid w:val="00E10CF1"/>
    <w:rsid w:val="00E11F6A"/>
    <w:rsid w:val="00E12081"/>
    <w:rsid w:val="00E12DBB"/>
    <w:rsid w:val="00E138E5"/>
    <w:rsid w:val="00E13909"/>
    <w:rsid w:val="00E13BBE"/>
    <w:rsid w:val="00E13CA7"/>
    <w:rsid w:val="00E13D05"/>
    <w:rsid w:val="00E15021"/>
    <w:rsid w:val="00E158E2"/>
    <w:rsid w:val="00E16492"/>
    <w:rsid w:val="00E16709"/>
    <w:rsid w:val="00E16A53"/>
    <w:rsid w:val="00E1747A"/>
    <w:rsid w:val="00E17CD1"/>
    <w:rsid w:val="00E2032C"/>
    <w:rsid w:val="00E208B8"/>
    <w:rsid w:val="00E2098B"/>
    <w:rsid w:val="00E209FD"/>
    <w:rsid w:val="00E20DE0"/>
    <w:rsid w:val="00E214B8"/>
    <w:rsid w:val="00E2157B"/>
    <w:rsid w:val="00E224B7"/>
    <w:rsid w:val="00E22DE4"/>
    <w:rsid w:val="00E235CA"/>
    <w:rsid w:val="00E23729"/>
    <w:rsid w:val="00E24886"/>
    <w:rsid w:val="00E25723"/>
    <w:rsid w:val="00E25E54"/>
    <w:rsid w:val="00E264A1"/>
    <w:rsid w:val="00E26BCA"/>
    <w:rsid w:val="00E27215"/>
    <w:rsid w:val="00E27346"/>
    <w:rsid w:val="00E30B26"/>
    <w:rsid w:val="00E319F9"/>
    <w:rsid w:val="00E3235C"/>
    <w:rsid w:val="00E331CA"/>
    <w:rsid w:val="00E3335B"/>
    <w:rsid w:val="00E334BC"/>
    <w:rsid w:val="00E33550"/>
    <w:rsid w:val="00E33D68"/>
    <w:rsid w:val="00E33EE5"/>
    <w:rsid w:val="00E34531"/>
    <w:rsid w:val="00E345E3"/>
    <w:rsid w:val="00E34759"/>
    <w:rsid w:val="00E3477A"/>
    <w:rsid w:val="00E34921"/>
    <w:rsid w:val="00E352BC"/>
    <w:rsid w:val="00E352FB"/>
    <w:rsid w:val="00E3584B"/>
    <w:rsid w:val="00E35DD8"/>
    <w:rsid w:val="00E376E4"/>
    <w:rsid w:val="00E37733"/>
    <w:rsid w:val="00E40420"/>
    <w:rsid w:val="00E4064C"/>
    <w:rsid w:val="00E406EA"/>
    <w:rsid w:val="00E40B72"/>
    <w:rsid w:val="00E41576"/>
    <w:rsid w:val="00E416B6"/>
    <w:rsid w:val="00E41B7A"/>
    <w:rsid w:val="00E41EDF"/>
    <w:rsid w:val="00E4268B"/>
    <w:rsid w:val="00E43448"/>
    <w:rsid w:val="00E43AB3"/>
    <w:rsid w:val="00E43CE9"/>
    <w:rsid w:val="00E43EC4"/>
    <w:rsid w:val="00E4406C"/>
    <w:rsid w:val="00E4444E"/>
    <w:rsid w:val="00E44669"/>
    <w:rsid w:val="00E4486C"/>
    <w:rsid w:val="00E44A8C"/>
    <w:rsid w:val="00E4518D"/>
    <w:rsid w:val="00E45B1A"/>
    <w:rsid w:val="00E46140"/>
    <w:rsid w:val="00E4632C"/>
    <w:rsid w:val="00E46FF7"/>
    <w:rsid w:val="00E47BD6"/>
    <w:rsid w:val="00E47D7D"/>
    <w:rsid w:val="00E50117"/>
    <w:rsid w:val="00E501A9"/>
    <w:rsid w:val="00E501E2"/>
    <w:rsid w:val="00E51152"/>
    <w:rsid w:val="00E51BCB"/>
    <w:rsid w:val="00E52508"/>
    <w:rsid w:val="00E5376F"/>
    <w:rsid w:val="00E53F24"/>
    <w:rsid w:val="00E542F7"/>
    <w:rsid w:val="00E5470A"/>
    <w:rsid w:val="00E54A1E"/>
    <w:rsid w:val="00E55848"/>
    <w:rsid w:val="00E55B95"/>
    <w:rsid w:val="00E568DB"/>
    <w:rsid w:val="00E56BBE"/>
    <w:rsid w:val="00E57279"/>
    <w:rsid w:val="00E5731A"/>
    <w:rsid w:val="00E57518"/>
    <w:rsid w:val="00E5780D"/>
    <w:rsid w:val="00E60B89"/>
    <w:rsid w:val="00E6123B"/>
    <w:rsid w:val="00E61F8C"/>
    <w:rsid w:val="00E61FD5"/>
    <w:rsid w:val="00E621DC"/>
    <w:rsid w:val="00E62BDD"/>
    <w:rsid w:val="00E632CC"/>
    <w:rsid w:val="00E640B4"/>
    <w:rsid w:val="00E641AC"/>
    <w:rsid w:val="00E650C1"/>
    <w:rsid w:val="00E650D7"/>
    <w:rsid w:val="00E65396"/>
    <w:rsid w:val="00E65A5A"/>
    <w:rsid w:val="00E66A03"/>
    <w:rsid w:val="00E66A0A"/>
    <w:rsid w:val="00E66A7B"/>
    <w:rsid w:val="00E67476"/>
    <w:rsid w:val="00E6798B"/>
    <w:rsid w:val="00E67F91"/>
    <w:rsid w:val="00E700AD"/>
    <w:rsid w:val="00E710EA"/>
    <w:rsid w:val="00E713E0"/>
    <w:rsid w:val="00E719EF"/>
    <w:rsid w:val="00E71B52"/>
    <w:rsid w:val="00E71BC8"/>
    <w:rsid w:val="00E71DB7"/>
    <w:rsid w:val="00E7260F"/>
    <w:rsid w:val="00E732C2"/>
    <w:rsid w:val="00E73379"/>
    <w:rsid w:val="00E7468D"/>
    <w:rsid w:val="00E74C4F"/>
    <w:rsid w:val="00E75461"/>
    <w:rsid w:val="00E759A9"/>
    <w:rsid w:val="00E75E9C"/>
    <w:rsid w:val="00E76445"/>
    <w:rsid w:val="00E770BF"/>
    <w:rsid w:val="00E773A2"/>
    <w:rsid w:val="00E774BE"/>
    <w:rsid w:val="00E77835"/>
    <w:rsid w:val="00E77838"/>
    <w:rsid w:val="00E779FC"/>
    <w:rsid w:val="00E77A5F"/>
    <w:rsid w:val="00E77B4D"/>
    <w:rsid w:val="00E8022B"/>
    <w:rsid w:val="00E80730"/>
    <w:rsid w:val="00E80988"/>
    <w:rsid w:val="00E80B72"/>
    <w:rsid w:val="00E82F0D"/>
    <w:rsid w:val="00E82F18"/>
    <w:rsid w:val="00E833A3"/>
    <w:rsid w:val="00E835E2"/>
    <w:rsid w:val="00E83CF7"/>
    <w:rsid w:val="00E83D26"/>
    <w:rsid w:val="00E84703"/>
    <w:rsid w:val="00E848D3"/>
    <w:rsid w:val="00E8508D"/>
    <w:rsid w:val="00E854C9"/>
    <w:rsid w:val="00E86009"/>
    <w:rsid w:val="00E86349"/>
    <w:rsid w:val="00E863FD"/>
    <w:rsid w:val="00E8754A"/>
    <w:rsid w:val="00E879CB"/>
    <w:rsid w:val="00E87BA0"/>
    <w:rsid w:val="00E87F74"/>
    <w:rsid w:val="00E90155"/>
    <w:rsid w:val="00E91ADC"/>
    <w:rsid w:val="00E91DEE"/>
    <w:rsid w:val="00E924D3"/>
    <w:rsid w:val="00E928B6"/>
    <w:rsid w:val="00E94088"/>
    <w:rsid w:val="00E9408F"/>
    <w:rsid w:val="00E94390"/>
    <w:rsid w:val="00E946FD"/>
    <w:rsid w:val="00E95190"/>
    <w:rsid w:val="00E95B1E"/>
    <w:rsid w:val="00E96271"/>
    <w:rsid w:val="00E96630"/>
    <w:rsid w:val="00E968A8"/>
    <w:rsid w:val="00E970F3"/>
    <w:rsid w:val="00EA05DB"/>
    <w:rsid w:val="00EA08CF"/>
    <w:rsid w:val="00EA0972"/>
    <w:rsid w:val="00EA1561"/>
    <w:rsid w:val="00EA1886"/>
    <w:rsid w:val="00EA2476"/>
    <w:rsid w:val="00EA2CC4"/>
    <w:rsid w:val="00EA3104"/>
    <w:rsid w:val="00EA31F7"/>
    <w:rsid w:val="00EA3358"/>
    <w:rsid w:val="00EA3597"/>
    <w:rsid w:val="00EA37E4"/>
    <w:rsid w:val="00EA3BBB"/>
    <w:rsid w:val="00EA3D84"/>
    <w:rsid w:val="00EA424B"/>
    <w:rsid w:val="00EA46BF"/>
    <w:rsid w:val="00EA5005"/>
    <w:rsid w:val="00EA5836"/>
    <w:rsid w:val="00EA7050"/>
    <w:rsid w:val="00EB0D21"/>
    <w:rsid w:val="00EB1005"/>
    <w:rsid w:val="00EB11EC"/>
    <w:rsid w:val="00EB16A9"/>
    <w:rsid w:val="00EB1ECC"/>
    <w:rsid w:val="00EB2581"/>
    <w:rsid w:val="00EB2972"/>
    <w:rsid w:val="00EB327A"/>
    <w:rsid w:val="00EB3406"/>
    <w:rsid w:val="00EB403C"/>
    <w:rsid w:val="00EB4523"/>
    <w:rsid w:val="00EB4549"/>
    <w:rsid w:val="00EB4EC4"/>
    <w:rsid w:val="00EB5B12"/>
    <w:rsid w:val="00EB66B8"/>
    <w:rsid w:val="00EB7049"/>
    <w:rsid w:val="00EB7D39"/>
    <w:rsid w:val="00EC0001"/>
    <w:rsid w:val="00EC010F"/>
    <w:rsid w:val="00EC09FF"/>
    <w:rsid w:val="00EC0D12"/>
    <w:rsid w:val="00EC11F5"/>
    <w:rsid w:val="00EC1345"/>
    <w:rsid w:val="00EC14A0"/>
    <w:rsid w:val="00EC1C46"/>
    <w:rsid w:val="00EC1C71"/>
    <w:rsid w:val="00EC282A"/>
    <w:rsid w:val="00EC28F3"/>
    <w:rsid w:val="00EC2BAD"/>
    <w:rsid w:val="00EC3DF1"/>
    <w:rsid w:val="00EC42B2"/>
    <w:rsid w:val="00EC48B6"/>
    <w:rsid w:val="00EC4B2D"/>
    <w:rsid w:val="00EC4D58"/>
    <w:rsid w:val="00EC4E89"/>
    <w:rsid w:val="00EC5AAF"/>
    <w:rsid w:val="00EC62A2"/>
    <w:rsid w:val="00EC6448"/>
    <w:rsid w:val="00EC71A1"/>
    <w:rsid w:val="00ED00C7"/>
    <w:rsid w:val="00ED041D"/>
    <w:rsid w:val="00ED04D3"/>
    <w:rsid w:val="00ED06EC"/>
    <w:rsid w:val="00ED0AB4"/>
    <w:rsid w:val="00ED140E"/>
    <w:rsid w:val="00ED1515"/>
    <w:rsid w:val="00ED17B5"/>
    <w:rsid w:val="00ED17CC"/>
    <w:rsid w:val="00ED1AD4"/>
    <w:rsid w:val="00ED29AD"/>
    <w:rsid w:val="00ED2F28"/>
    <w:rsid w:val="00ED3308"/>
    <w:rsid w:val="00ED33D1"/>
    <w:rsid w:val="00ED3870"/>
    <w:rsid w:val="00ED4578"/>
    <w:rsid w:val="00ED49B0"/>
    <w:rsid w:val="00ED50DC"/>
    <w:rsid w:val="00ED51C0"/>
    <w:rsid w:val="00ED51E5"/>
    <w:rsid w:val="00ED5317"/>
    <w:rsid w:val="00ED5B85"/>
    <w:rsid w:val="00ED6DA5"/>
    <w:rsid w:val="00ED7A2A"/>
    <w:rsid w:val="00EE0B0F"/>
    <w:rsid w:val="00EE1644"/>
    <w:rsid w:val="00EE1B4E"/>
    <w:rsid w:val="00EE243C"/>
    <w:rsid w:val="00EE296F"/>
    <w:rsid w:val="00EE2C91"/>
    <w:rsid w:val="00EE35B4"/>
    <w:rsid w:val="00EE3DBE"/>
    <w:rsid w:val="00EE40EA"/>
    <w:rsid w:val="00EE41CE"/>
    <w:rsid w:val="00EE451A"/>
    <w:rsid w:val="00EE4BC0"/>
    <w:rsid w:val="00EE4FA8"/>
    <w:rsid w:val="00EE4FE4"/>
    <w:rsid w:val="00EE5084"/>
    <w:rsid w:val="00EE52CE"/>
    <w:rsid w:val="00EE5BD5"/>
    <w:rsid w:val="00EE5E84"/>
    <w:rsid w:val="00EE6199"/>
    <w:rsid w:val="00EE628E"/>
    <w:rsid w:val="00EE64C7"/>
    <w:rsid w:val="00EE724E"/>
    <w:rsid w:val="00EE754D"/>
    <w:rsid w:val="00EE7B97"/>
    <w:rsid w:val="00EE7D67"/>
    <w:rsid w:val="00EF0235"/>
    <w:rsid w:val="00EF0CE1"/>
    <w:rsid w:val="00EF1D7F"/>
    <w:rsid w:val="00EF1EF6"/>
    <w:rsid w:val="00EF233C"/>
    <w:rsid w:val="00EF309E"/>
    <w:rsid w:val="00EF32BA"/>
    <w:rsid w:val="00EF3A79"/>
    <w:rsid w:val="00EF3EE3"/>
    <w:rsid w:val="00EF471B"/>
    <w:rsid w:val="00EF49D0"/>
    <w:rsid w:val="00EF5EC8"/>
    <w:rsid w:val="00EF6285"/>
    <w:rsid w:val="00EF6302"/>
    <w:rsid w:val="00EF65BA"/>
    <w:rsid w:val="00EF6746"/>
    <w:rsid w:val="00EF7082"/>
    <w:rsid w:val="00EF7108"/>
    <w:rsid w:val="00EF7839"/>
    <w:rsid w:val="00F00413"/>
    <w:rsid w:val="00F004E2"/>
    <w:rsid w:val="00F014D0"/>
    <w:rsid w:val="00F01870"/>
    <w:rsid w:val="00F01B3C"/>
    <w:rsid w:val="00F02B49"/>
    <w:rsid w:val="00F02BEC"/>
    <w:rsid w:val="00F02C8E"/>
    <w:rsid w:val="00F03190"/>
    <w:rsid w:val="00F03A99"/>
    <w:rsid w:val="00F03C44"/>
    <w:rsid w:val="00F04497"/>
    <w:rsid w:val="00F04613"/>
    <w:rsid w:val="00F04620"/>
    <w:rsid w:val="00F047DF"/>
    <w:rsid w:val="00F04C27"/>
    <w:rsid w:val="00F04CDE"/>
    <w:rsid w:val="00F04D86"/>
    <w:rsid w:val="00F05290"/>
    <w:rsid w:val="00F05CA7"/>
    <w:rsid w:val="00F06C44"/>
    <w:rsid w:val="00F06FDD"/>
    <w:rsid w:val="00F073AA"/>
    <w:rsid w:val="00F102C3"/>
    <w:rsid w:val="00F102F9"/>
    <w:rsid w:val="00F103DE"/>
    <w:rsid w:val="00F105CD"/>
    <w:rsid w:val="00F109FF"/>
    <w:rsid w:val="00F10AF3"/>
    <w:rsid w:val="00F10E0C"/>
    <w:rsid w:val="00F111D0"/>
    <w:rsid w:val="00F1163E"/>
    <w:rsid w:val="00F11CF2"/>
    <w:rsid w:val="00F1281B"/>
    <w:rsid w:val="00F12D79"/>
    <w:rsid w:val="00F136AF"/>
    <w:rsid w:val="00F1389A"/>
    <w:rsid w:val="00F1444B"/>
    <w:rsid w:val="00F145AF"/>
    <w:rsid w:val="00F148F2"/>
    <w:rsid w:val="00F14CB8"/>
    <w:rsid w:val="00F14EBE"/>
    <w:rsid w:val="00F151CD"/>
    <w:rsid w:val="00F1539A"/>
    <w:rsid w:val="00F15677"/>
    <w:rsid w:val="00F160BE"/>
    <w:rsid w:val="00F17DA7"/>
    <w:rsid w:val="00F20561"/>
    <w:rsid w:val="00F20ADB"/>
    <w:rsid w:val="00F20C3D"/>
    <w:rsid w:val="00F21789"/>
    <w:rsid w:val="00F21E26"/>
    <w:rsid w:val="00F22866"/>
    <w:rsid w:val="00F23451"/>
    <w:rsid w:val="00F2375C"/>
    <w:rsid w:val="00F24687"/>
    <w:rsid w:val="00F2528A"/>
    <w:rsid w:val="00F25E5E"/>
    <w:rsid w:val="00F26BC3"/>
    <w:rsid w:val="00F26F84"/>
    <w:rsid w:val="00F2704D"/>
    <w:rsid w:val="00F27136"/>
    <w:rsid w:val="00F27F80"/>
    <w:rsid w:val="00F30F1F"/>
    <w:rsid w:val="00F31448"/>
    <w:rsid w:val="00F31584"/>
    <w:rsid w:val="00F318C1"/>
    <w:rsid w:val="00F319C4"/>
    <w:rsid w:val="00F31D2A"/>
    <w:rsid w:val="00F31F9C"/>
    <w:rsid w:val="00F31FB3"/>
    <w:rsid w:val="00F32ABF"/>
    <w:rsid w:val="00F34355"/>
    <w:rsid w:val="00F34E53"/>
    <w:rsid w:val="00F355F3"/>
    <w:rsid w:val="00F36AFD"/>
    <w:rsid w:val="00F36C66"/>
    <w:rsid w:val="00F37463"/>
    <w:rsid w:val="00F40F25"/>
    <w:rsid w:val="00F4204E"/>
    <w:rsid w:val="00F42C98"/>
    <w:rsid w:val="00F433D6"/>
    <w:rsid w:val="00F43E9E"/>
    <w:rsid w:val="00F4418A"/>
    <w:rsid w:val="00F44F20"/>
    <w:rsid w:val="00F45535"/>
    <w:rsid w:val="00F4571B"/>
    <w:rsid w:val="00F45731"/>
    <w:rsid w:val="00F458D0"/>
    <w:rsid w:val="00F458FF"/>
    <w:rsid w:val="00F465A2"/>
    <w:rsid w:val="00F469F6"/>
    <w:rsid w:val="00F46C10"/>
    <w:rsid w:val="00F46CDD"/>
    <w:rsid w:val="00F4734E"/>
    <w:rsid w:val="00F47CB4"/>
    <w:rsid w:val="00F505BE"/>
    <w:rsid w:val="00F50835"/>
    <w:rsid w:val="00F50D87"/>
    <w:rsid w:val="00F50F63"/>
    <w:rsid w:val="00F51001"/>
    <w:rsid w:val="00F531EB"/>
    <w:rsid w:val="00F533EC"/>
    <w:rsid w:val="00F53F0E"/>
    <w:rsid w:val="00F54834"/>
    <w:rsid w:val="00F54A30"/>
    <w:rsid w:val="00F5519A"/>
    <w:rsid w:val="00F56823"/>
    <w:rsid w:val="00F57DCC"/>
    <w:rsid w:val="00F60A16"/>
    <w:rsid w:val="00F61913"/>
    <w:rsid w:val="00F61D66"/>
    <w:rsid w:val="00F627EC"/>
    <w:rsid w:val="00F6286A"/>
    <w:rsid w:val="00F631FF"/>
    <w:rsid w:val="00F635BF"/>
    <w:rsid w:val="00F63649"/>
    <w:rsid w:val="00F63797"/>
    <w:rsid w:val="00F63EE8"/>
    <w:rsid w:val="00F6411E"/>
    <w:rsid w:val="00F64269"/>
    <w:rsid w:val="00F6449E"/>
    <w:rsid w:val="00F647F9"/>
    <w:rsid w:val="00F64FCD"/>
    <w:rsid w:val="00F65174"/>
    <w:rsid w:val="00F65219"/>
    <w:rsid w:val="00F65E7F"/>
    <w:rsid w:val="00F66373"/>
    <w:rsid w:val="00F6685C"/>
    <w:rsid w:val="00F67907"/>
    <w:rsid w:val="00F708B7"/>
    <w:rsid w:val="00F70BA6"/>
    <w:rsid w:val="00F70FF2"/>
    <w:rsid w:val="00F7129A"/>
    <w:rsid w:val="00F713E3"/>
    <w:rsid w:val="00F716E0"/>
    <w:rsid w:val="00F7179B"/>
    <w:rsid w:val="00F71BF6"/>
    <w:rsid w:val="00F728B4"/>
    <w:rsid w:val="00F72D0C"/>
    <w:rsid w:val="00F72E42"/>
    <w:rsid w:val="00F73056"/>
    <w:rsid w:val="00F73381"/>
    <w:rsid w:val="00F7365B"/>
    <w:rsid w:val="00F73D88"/>
    <w:rsid w:val="00F759D7"/>
    <w:rsid w:val="00F75C5C"/>
    <w:rsid w:val="00F75F5B"/>
    <w:rsid w:val="00F7636E"/>
    <w:rsid w:val="00F76700"/>
    <w:rsid w:val="00F76A63"/>
    <w:rsid w:val="00F76B7D"/>
    <w:rsid w:val="00F76E01"/>
    <w:rsid w:val="00F779E8"/>
    <w:rsid w:val="00F8007A"/>
    <w:rsid w:val="00F8113E"/>
    <w:rsid w:val="00F81D69"/>
    <w:rsid w:val="00F82380"/>
    <w:rsid w:val="00F8265D"/>
    <w:rsid w:val="00F83A21"/>
    <w:rsid w:val="00F84C41"/>
    <w:rsid w:val="00F84D9A"/>
    <w:rsid w:val="00F8521C"/>
    <w:rsid w:val="00F85994"/>
    <w:rsid w:val="00F85A37"/>
    <w:rsid w:val="00F86121"/>
    <w:rsid w:val="00F86289"/>
    <w:rsid w:val="00F86FEF"/>
    <w:rsid w:val="00F8710F"/>
    <w:rsid w:val="00F87823"/>
    <w:rsid w:val="00F90553"/>
    <w:rsid w:val="00F9057C"/>
    <w:rsid w:val="00F906D7"/>
    <w:rsid w:val="00F90D84"/>
    <w:rsid w:val="00F90FD3"/>
    <w:rsid w:val="00F910E4"/>
    <w:rsid w:val="00F91103"/>
    <w:rsid w:val="00F914B2"/>
    <w:rsid w:val="00F91FD2"/>
    <w:rsid w:val="00F92055"/>
    <w:rsid w:val="00F93728"/>
    <w:rsid w:val="00F93781"/>
    <w:rsid w:val="00F949D6"/>
    <w:rsid w:val="00F9661F"/>
    <w:rsid w:val="00F96A94"/>
    <w:rsid w:val="00F96BA5"/>
    <w:rsid w:val="00F96E93"/>
    <w:rsid w:val="00F97217"/>
    <w:rsid w:val="00F97341"/>
    <w:rsid w:val="00F976E7"/>
    <w:rsid w:val="00FA0380"/>
    <w:rsid w:val="00FA0907"/>
    <w:rsid w:val="00FA1481"/>
    <w:rsid w:val="00FA1718"/>
    <w:rsid w:val="00FA1D4B"/>
    <w:rsid w:val="00FA1DCD"/>
    <w:rsid w:val="00FA204D"/>
    <w:rsid w:val="00FA2174"/>
    <w:rsid w:val="00FA2CBD"/>
    <w:rsid w:val="00FA32C0"/>
    <w:rsid w:val="00FA379D"/>
    <w:rsid w:val="00FA380F"/>
    <w:rsid w:val="00FA447C"/>
    <w:rsid w:val="00FA5460"/>
    <w:rsid w:val="00FA559A"/>
    <w:rsid w:val="00FA56DB"/>
    <w:rsid w:val="00FA5D93"/>
    <w:rsid w:val="00FA645E"/>
    <w:rsid w:val="00FA6BE1"/>
    <w:rsid w:val="00FA6FB0"/>
    <w:rsid w:val="00FA70A8"/>
    <w:rsid w:val="00FA7474"/>
    <w:rsid w:val="00FB01A4"/>
    <w:rsid w:val="00FB048C"/>
    <w:rsid w:val="00FB079A"/>
    <w:rsid w:val="00FB102B"/>
    <w:rsid w:val="00FB1081"/>
    <w:rsid w:val="00FB12B2"/>
    <w:rsid w:val="00FB1408"/>
    <w:rsid w:val="00FB14C2"/>
    <w:rsid w:val="00FB1A10"/>
    <w:rsid w:val="00FB1B6F"/>
    <w:rsid w:val="00FB2455"/>
    <w:rsid w:val="00FB2D29"/>
    <w:rsid w:val="00FB52F0"/>
    <w:rsid w:val="00FB5836"/>
    <w:rsid w:val="00FB5EB5"/>
    <w:rsid w:val="00FB6077"/>
    <w:rsid w:val="00FB613B"/>
    <w:rsid w:val="00FB6DA0"/>
    <w:rsid w:val="00FB6F7F"/>
    <w:rsid w:val="00FB7622"/>
    <w:rsid w:val="00FB79EA"/>
    <w:rsid w:val="00FB7C3B"/>
    <w:rsid w:val="00FC0980"/>
    <w:rsid w:val="00FC09CA"/>
    <w:rsid w:val="00FC0AAE"/>
    <w:rsid w:val="00FC20C0"/>
    <w:rsid w:val="00FC22CD"/>
    <w:rsid w:val="00FC238C"/>
    <w:rsid w:val="00FC3541"/>
    <w:rsid w:val="00FC3570"/>
    <w:rsid w:val="00FC3AD4"/>
    <w:rsid w:val="00FC403B"/>
    <w:rsid w:val="00FC4A11"/>
    <w:rsid w:val="00FC5E55"/>
    <w:rsid w:val="00FC5E8C"/>
    <w:rsid w:val="00FC6453"/>
    <w:rsid w:val="00FC68B7"/>
    <w:rsid w:val="00FC6BBB"/>
    <w:rsid w:val="00FC70CA"/>
    <w:rsid w:val="00FD0022"/>
    <w:rsid w:val="00FD0381"/>
    <w:rsid w:val="00FD1392"/>
    <w:rsid w:val="00FD1405"/>
    <w:rsid w:val="00FD15CE"/>
    <w:rsid w:val="00FD193B"/>
    <w:rsid w:val="00FD1954"/>
    <w:rsid w:val="00FD23D3"/>
    <w:rsid w:val="00FD2F6F"/>
    <w:rsid w:val="00FD3099"/>
    <w:rsid w:val="00FD45FE"/>
    <w:rsid w:val="00FD4EF4"/>
    <w:rsid w:val="00FD4FB8"/>
    <w:rsid w:val="00FD5649"/>
    <w:rsid w:val="00FD59DC"/>
    <w:rsid w:val="00FD5CE9"/>
    <w:rsid w:val="00FD61D2"/>
    <w:rsid w:val="00FD72DD"/>
    <w:rsid w:val="00FD7631"/>
    <w:rsid w:val="00FD7EE6"/>
    <w:rsid w:val="00FE008D"/>
    <w:rsid w:val="00FE01F2"/>
    <w:rsid w:val="00FE0223"/>
    <w:rsid w:val="00FE05AC"/>
    <w:rsid w:val="00FE0B03"/>
    <w:rsid w:val="00FE0BE7"/>
    <w:rsid w:val="00FE106A"/>
    <w:rsid w:val="00FE1349"/>
    <w:rsid w:val="00FE16E4"/>
    <w:rsid w:val="00FE2A74"/>
    <w:rsid w:val="00FE2E09"/>
    <w:rsid w:val="00FE3760"/>
    <w:rsid w:val="00FE383D"/>
    <w:rsid w:val="00FE3DBF"/>
    <w:rsid w:val="00FE3E4F"/>
    <w:rsid w:val="00FE4726"/>
    <w:rsid w:val="00FE52FC"/>
    <w:rsid w:val="00FE6090"/>
    <w:rsid w:val="00FE6767"/>
    <w:rsid w:val="00FE685A"/>
    <w:rsid w:val="00FE6AC5"/>
    <w:rsid w:val="00FE6DC3"/>
    <w:rsid w:val="00FE7EF7"/>
    <w:rsid w:val="00FF019D"/>
    <w:rsid w:val="00FF0FD2"/>
    <w:rsid w:val="00FF1D1B"/>
    <w:rsid w:val="00FF2281"/>
    <w:rsid w:val="00FF2915"/>
    <w:rsid w:val="00FF3E2B"/>
    <w:rsid w:val="00FF3FD6"/>
    <w:rsid w:val="00FF442F"/>
    <w:rsid w:val="00FF49C7"/>
    <w:rsid w:val="00FF4A5A"/>
    <w:rsid w:val="00FF6003"/>
    <w:rsid w:val="00FF6456"/>
    <w:rsid w:val="00FF67E9"/>
    <w:rsid w:val="00FF718F"/>
    <w:rsid w:val="00FF726B"/>
    <w:rsid w:val="00FF7920"/>
    <w:rsid w:val="00FF7D02"/>
    <w:rsid w:val="00FF7E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1CA941F"/>
  <w14:defaultImageDpi w14:val="0"/>
  <w15:docId w15:val="{485B69C9-8AC3-4082-9A4D-15823E1E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99069F"/>
    <w:rPr>
      <w:rFonts w:ascii="Cambria" w:eastAsia="SimSun" w:hAnsi="Cambria" w:cs="Times New Roman"/>
      <w:b/>
      <w:bCs/>
      <w:kern w:val="32"/>
      <w:sz w:val="32"/>
      <w:szCs w:val="32"/>
      <w:lang w:val="en-GB" w:eastAsia="en-US"/>
    </w:rPr>
  </w:style>
  <w:style w:type="character" w:customStyle="1" w:styleId="Heading2Char">
    <w:name w:val="Heading 2 Char"/>
    <w:link w:val="Heading2"/>
    <w:uiPriority w:val="9"/>
    <w:semiHidden/>
    <w:rsid w:val="0099069F"/>
    <w:rPr>
      <w:rFonts w:ascii="Cambria" w:eastAsia="SimSun" w:hAnsi="Cambria" w:cs="Times New Roman"/>
      <w:b/>
      <w:bCs/>
      <w:i/>
      <w:iCs/>
      <w:sz w:val="28"/>
      <w:szCs w:val="28"/>
      <w:lang w:val="en-GB" w:eastAsia="en-US"/>
    </w:rPr>
  </w:style>
  <w:style w:type="character" w:customStyle="1" w:styleId="Heading3Char">
    <w:name w:val="Heading 3 Char"/>
    <w:link w:val="Heading3"/>
    <w:uiPriority w:val="9"/>
    <w:semiHidden/>
    <w:rsid w:val="0099069F"/>
    <w:rPr>
      <w:rFonts w:ascii="Cambria" w:eastAsia="SimSun" w:hAnsi="Cambria" w:cs="Times New Roman"/>
      <w:b/>
      <w:bCs/>
      <w:sz w:val="26"/>
      <w:szCs w:val="26"/>
      <w:lang w:val="en-GB" w:eastAsia="en-US"/>
    </w:rPr>
  </w:style>
  <w:style w:type="character" w:customStyle="1" w:styleId="Heading4Char">
    <w:name w:val="Heading 4 Char"/>
    <w:link w:val="Heading4"/>
    <w:uiPriority w:val="9"/>
    <w:semiHidden/>
    <w:rsid w:val="0099069F"/>
    <w:rPr>
      <w:rFonts w:ascii="Calibri" w:eastAsia="SimSun" w:hAnsi="Calibri" w:cs="Arial"/>
      <w:b/>
      <w:bCs/>
      <w:sz w:val="28"/>
      <w:szCs w:val="28"/>
      <w:lang w:val="en-GB" w:eastAsia="en-US"/>
    </w:rPr>
  </w:style>
  <w:style w:type="character" w:customStyle="1" w:styleId="Heading5Char">
    <w:name w:val="Heading 5 Char"/>
    <w:link w:val="Heading5"/>
    <w:uiPriority w:val="9"/>
    <w:semiHidden/>
    <w:rsid w:val="0099069F"/>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99069F"/>
    <w:rPr>
      <w:rFonts w:ascii="Calibri" w:eastAsia="SimSun" w:hAnsi="Calibri" w:cs="Arial"/>
      <w:b/>
      <w:bCs/>
      <w:lang w:val="en-GB" w:eastAsia="en-US"/>
    </w:rPr>
  </w:style>
  <w:style w:type="character" w:customStyle="1" w:styleId="Heading7Char">
    <w:name w:val="Heading 7 Char"/>
    <w:link w:val="Heading7"/>
    <w:uiPriority w:val="9"/>
    <w:semiHidden/>
    <w:rsid w:val="0099069F"/>
    <w:rPr>
      <w:rFonts w:ascii="Calibri" w:eastAsia="SimSun" w:hAnsi="Calibri" w:cs="Arial"/>
      <w:sz w:val="24"/>
      <w:szCs w:val="24"/>
      <w:lang w:val="en-GB" w:eastAsia="en-US"/>
    </w:rPr>
  </w:style>
  <w:style w:type="character" w:customStyle="1" w:styleId="Heading8Char">
    <w:name w:val="Heading 8 Char"/>
    <w:link w:val="Heading8"/>
    <w:uiPriority w:val="9"/>
    <w:semiHidden/>
    <w:rsid w:val="0099069F"/>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99069F"/>
    <w:rPr>
      <w:rFonts w:ascii="Cambria" w:eastAsia="SimSun" w:hAnsi="Cambria" w:cs="Times New Roman"/>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rFonts w:cs="Times New Roman"/>
      <w:color w:val="auto"/>
      <w:u w:val="none"/>
    </w:rPr>
  </w:style>
  <w:style w:type="character" w:styleId="FollowedHyperlink">
    <w:name w:val="FollowedHyperlink"/>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uiPriority w:val="99"/>
    <w:qFormat/>
    <w:rsid w:val="004D71B4"/>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uiPriority w:val="99"/>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uiPriority w:val="99"/>
    <w:rsid w:val="000272B3"/>
    <w:rPr>
      <w:rFonts w:ascii="Times New Roman" w:hAnsi="Times New Roman" w:cs="Times New Roman"/>
      <w:sz w:val="18"/>
      <w:vertAlign w:val="superscript"/>
    </w:rPr>
  </w:style>
  <w:style w:type="character" w:styleId="PageNumber">
    <w:name w:val="page number"/>
    <w:aliases w:val="7_G"/>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rsid w:val="00161B02"/>
    <w:rPr>
      <w:rFonts w:cs="Times New Roman"/>
      <w:sz w:val="16"/>
    </w:rPr>
  </w:style>
  <w:style w:type="paragraph" w:styleId="CommentText">
    <w:name w:val="annotation text"/>
    <w:basedOn w:val="Normal"/>
    <w:link w:val="CommentTextChar"/>
    <w:rsid w:val="00161B02"/>
  </w:style>
  <w:style w:type="character" w:customStyle="1" w:styleId="CommentTextChar">
    <w:name w:val="Comment Text Char"/>
    <w:link w:val="CommentText"/>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link w:val="CommentSubject"/>
    <w:uiPriority w:val="99"/>
    <w:locked/>
    <w:rsid w:val="00161B02"/>
    <w:rPr>
      <w:b/>
      <w:lang w:val="x-none" w:eastAsia="en-US"/>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styleId="Revision">
    <w:name w:val="Revision"/>
    <w:hidden/>
    <w:uiPriority w:val="99"/>
    <w:semiHidden/>
    <w:rsid w:val="00AB5D75"/>
    <w:rPr>
      <w:lang w:eastAsia="en-US"/>
    </w:rPr>
  </w:style>
  <w:style w:type="character" w:customStyle="1" w:styleId="s32a37344">
    <w:name w:val="s32a37344"/>
    <w:rsid w:val="00956A6B"/>
  </w:style>
  <w:style w:type="character" w:customStyle="1" w:styleId="s0">
    <w:name w:val="s0"/>
    <w:rsid w:val="00166ADA"/>
    <w:rPr>
      <w:rFonts w:ascii="Times New Roman" w:hAnsi="Times New Roman" w:cs="Times New Roman" w:hint="default"/>
      <w:b w:val="0"/>
      <w:bCs w:val="0"/>
      <w:i w:val="0"/>
      <w:iCs w:val="0"/>
      <w:strike w:val="0"/>
      <w:dstrike w:val="0"/>
      <w:color w:val="000000"/>
      <w:sz w:val="20"/>
      <w:szCs w:val="20"/>
      <w:u w:val="none"/>
      <w:effect w:val="none"/>
    </w:rPr>
  </w:style>
  <w:style w:type="paragraph" w:styleId="ListParagraph">
    <w:name w:val="List Paragraph"/>
    <w:basedOn w:val="Normal"/>
    <w:uiPriority w:val="34"/>
    <w:qFormat/>
    <w:rsid w:val="009B424C"/>
    <w:pPr>
      <w:suppressAutoHyphens w:val="0"/>
      <w:spacing w:after="200" w:line="276" w:lineRule="auto"/>
      <w:ind w:left="720"/>
      <w:contextualSpacing/>
    </w:pPr>
    <w:rPr>
      <w:rFonts w:ascii="Calibri" w:eastAsia="Calibri" w:hAnsi="Calibri" w:cs="Arial"/>
      <w:sz w:val="22"/>
      <w:szCs w:val="22"/>
    </w:rPr>
  </w:style>
  <w:style w:type="character" w:styleId="Emphasis">
    <w:name w:val="Emphasis"/>
    <w:uiPriority w:val="20"/>
    <w:qFormat/>
    <w:locked/>
    <w:rsid w:val="00533886"/>
    <w:rPr>
      <w:i/>
      <w:iCs/>
    </w:rPr>
  </w:style>
  <w:style w:type="character" w:customStyle="1" w:styleId="shorttext">
    <w:name w:val="short_text"/>
    <w:basedOn w:val="DefaultParagraphFont"/>
    <w:rsid w:val="00542544"/>
  </w:style>
  <w:style w:type="character" w:customStyle="1" w:styleId="sessionsubtitle">
    <w:name w:val="sessionsubtitle"/>
    <w:basedOn w:val="DefaultParagraphFont"/>
    <w:rsid w:val="00D769C4"/>
  </w:style>
  <w:style w:type="character" w:customStyle="1" w:styleId="s6b621b36">
    <w:name w:val="s6b621b36"/>
    <w:rsid w:val="0058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4465">
      <w:bodyDiv w:val="1"/>
      <w:marLeft w:val="0"/>
      <w:marRight w:val="0"/>
      <w:marTop w:val="0"/>
      <w:marBottom w:val="0"/>
      <w:divBdr>
        <w:top w:val="none" w:sz="0" w:space="0" w:color="auto"/>
        <w:left w:val="none" w:sz="0" w:space="0" w:color="auto"/>
        <w:bottom w:val="none" w:sz="0" w:space="0" w:color="auto"/>
        <w:right w:val="none" w:sz="0" w:space="0" w:color="auto"/>
      </w:divBdr>
      <w:divsChild>
        <w:div w:id="1702852693">
          <w:marLeft w:val="0"/>
          <w:marRight w:val="0"/>
          <w:marTop w:val="0"/>
          <w:marBottom w:val="0"/>
          <w:divBdr>
            <w:top w:val="none" w:sz="0" w:space="0" w:color="auto"/>
            <w:left w:val="none" w:sz="0" w:space="0" w:color="auto"/>
            <w:bottom w:val="none" w:sz="0" w:space="0" w:color="auto"/>
            <w:right w:val="none" w:sz="0" w:space="0" w:color="auto"/>
          </w:divBdr>
        </w:div>
        <w:div w:id="1933472444">
          <w:marLeft w:val="0"/>
          <w:marRight w:val="0"/>
          <w:marTop w:val="0"/>
          <w:marBottom w:val="0"/>
          <w:divBdr>
            <w:top w:val="none" w:sz="0" w:space="0" w:color="auto"/>
            <w:left w:val="none" w:sz="0" w:space="0" w:color="auto"/>
            <w:bottom w:val="none" w:sz="0" w:space="0" w:color="auto"/>
            <w:right w:val="none" w:sz="0" w:space="0" w:color="auto"/>
          </w:divBdr>
        </w:div>
        <w:div w:id="1109661471">
          <w:marLeft w:val="0"/>
          <w:marRight w:val="0"/>
          <w:marTop w:val="0"/>
          <w:marBottom w:val="0"/>
          <w:divBdr>
            <w:top w:val="none" w:sz="0" w:space="0" w:color="auto"/>
            <w:left w:val="none" w:sz="0" w:space="0" w:color="auto"/>
            <w:bottom w:val="none" w:sz="0" w:space="0" w:color="auto"/>
            <w:right w:val="none" w:sz="0" w:space="0" w:color="auto"/>
          </w:divBdr>
        </w:div>
        <w:div w:id="2126188468">
          <w:marLeft w:val="0"/>
          <w:marRight w:val="0"/>
          <w:marTop w:val="0"/>
          <w:marBottom w:val="0"/>
          <w:divBdr>
            <w:top w:val="none" w:sz="0" w:space="0" w:color="auto"/>
            <w:left w:val="none" w:sz="0" w:space="0" w:color="auto"/>
            <w:bottom w:val="none" w:sz="0" w:space="0" w:color="auto"/>
            <w:right w:val="none" w:sz="0" w:space="0" w:color="auto"/>
          </w:divBdr>
        </w:div>
        <w:div w:id="133639233">
          <w:marLeft w:val="0"/>
          <w:marRight w:val="0"/>
          <w:marTop w:val="0"/>
          <w:marBottom w:val="0"/>
          <w:divBdr>
            <w:top w:val="none" w:sz="0" w:space="0" w:color="auto"/>
            <w:left w:val="none" w:sz="0" w:space="0" w:color="auto"/>
            <w:bottom w:val="none" w:sz="0" w:space="0" w:color="auto"/>
            <w:right w:val="none" w:sz="0" w:space="0" w:color="auto"/>
          </w:divBdr>
        </w:div>
        <w:div w:id="1399941675">
          <w:marLeft w:val="0"/>
          <w:marRight w:val="0"/>
          <w:marTop w:val="0"/>
          <w:marBottom w:val="0"/>
          <w:divBdr>
            <w:top w:val="none" w:sz="0" w:space="0" w:color="auto"/>
            <w:left w:val="none" w:sz="0" w:space="0" w:color="auto"/>
            <w:bottom w:val="none" w:sz="0" w:space="0" w:color="auto"/>
            <w:right w:val="none" w:sz="0" w:space="0" w:color="auto"/>
          </w:divBdr>
        </w:div>
        <w:div w:id="749280562">
          <w:marLeft w:val="0"/>
          <w:marRight w:val="0"/>
          <w:marTop w:val="0"/>
          <w:marBottom w:val="0"/>
          <w:divBdr>
            <w:top w:val="none" w:sz="0" w:space="0" w:color="auto"/>
            <w:left w:val="none" w:sz="0" w:space="0" w:color="auto"/>
            <w:bottom w:val="none" w:sz="0" w:space="0" w:color="auto"/>
            <w:right w:val="none" w:sz="0" w:space="0" w:color="auto"/>
          </w:divBdr>
        </w:div>
        <w:div w:id="647057474">
          <w:marLeft w:val="0"/>
          <w:marRight w:val="0"/>
          <w:marTop w:val="0"/>
          <w:marBottom w:val="0"/>
          <w:divBdr>
            <w:top w:val="none" w:sz="0" w:space="0" w:color="auto"/>
            <w:left w:val="none" w:sz="0" w:space="0" w:color="auto"/>
            <w:bottom w:val="none" w:sz="0" w:space="0" w:color="auto"/>
            <w:right w:val="none" w:sz="0" w:space="0" w:color="auto"/>
          </w:divBdr>
        </w:div>
      </w:divsChild>
    </w:div>
    <w:div w:id="187573542">
      <w:bodyDiv w:val="1"/>
      <w:marLeft w:val="0"/>
      <w:marRight w:val="0"/>
      <w:marTop w:val="0"/>
      <w:marBottom w:val="0"/>
      <w:divBdr>
        <w:top w:val="none" w:sz="0" w:space="0" w:color="auto"/>
        <w:left w:val="none" w:sz="0" w:space="0" w:color="auto"/>
        <w:bottom w:val="none" w:sz="0" w:space="0" w:color="auto"/>
        <w:right w:val="none" w:sz="0" w:space="0" w:color="auto"/>
      </w:divBdr>
    </w:div>
    <w:div w:id="260258526">
      <w:bodyDiv w:val="1"/>
      <w:marLeft w:val="0"/>
      <w:marRight w:val="0"/>
      <w:marTop w:val="0"/>
      <w:marBottom w:val="0"/>
      <w:divBdr>
        <w:top w:val="none" w:sz="0" w:space="0" w:color="auto"/>
        <w:left w:val="none" w:sz="0" w:space="0" w:color="auto"/>
        <w:bottom w:val="none" w:sz="0" w:space="0" w:color="auto"/>
        <w:right w:val="none" w:sz="0" w:space="0" w:color="auto"/>
      </w:divBdr>
    </w:div>
    <w:div w:id="435028217">
      <w:bodyDiv w:val="1"/>
      <w:marLeft w:val="0"/>
      <w:marRight w:val="0"/>
      <w:marTop w:val="0"/>
      <w:marBottom w:val="0"/>
      <w:divBdr>
        <w:top w:val="none" w:sz="0" w:space="0" w:color="auto"/>
        <w:left w:val="none" w:sz="0" w:space="0" w:color="auto"/>
        <w:bottom w:val="none" w:sz="0" w:space="0" w:color="auto"/>
        <w:right w:val="none" w:sz="0" w:space="0" w:color="auto"/>
      </w:divBdr>
      <w:divsChild>
        <w:div w:id="914632062">
          <w:marLeft w:val="0"/>
          <w:marRight w:val="0"/>
          <w:marTop w:val="0"/>
          <w:marBottom w:val="0"/>
          <w:divBdr>
            <w:top w:val="none" w:sz="0" w:space="0" w:color="auto"/>
            <w:left w:val="none" w:sz="0" w:space="0" w:color="auto"/>
            <w:bottom w:val="none" w:sz="0" w:space="0" w:color="auto"/>
            <w:right w:val="none" w:sz="0" w:space="0" w:color="auto"/>
          </w:divBdr>
        </w:div>
        <w:div w:id="1084960295">
          <w:marLeft w:val="0"/>
          <w:marRight w:val="0"/>
          <w:marTop w:val="0"/>
          <w:marBottom w:val="0"/>
          <w:divBdr>
            <w:top w:val="none" w:sz="0" w:space="0" w:color="auto"/>
            <w:left w:val="none" w:sz="0" w:space="0" w:color="auto"/>
            <w:bottom w:val="none" w:sz="0" w:space="0" w:color="auto"/>
            <w:right w:val="none" w:sz="0" w:space="0" w:color="auto"/>
          </w:divBdr>
        </w:div>
        <w:div w:id="408305954">
          <w:marLeft w:val="0"/>
          <w:marRight w:val="0"/>
          <w:marTop w:val="0"/>
          <w:marBottom w:val="0"/>
          <w:divBdr>
            <w:top w:val="none" w:sz="0" w:space="0" w:color="auto"/>
            <w:left w:val="none" w:sz="0" w:space="0" w:color="auto"/>
            <w:bottom w:val="none" w:sz="0" w:space="0" w:color="auto"/>
            <w:right w:val="none" w:sz="0" w:space="0" w:color="auto"/>
          </w:divBdr>
        </w:div>
        <w:div w:id="1269697654">
          <w:marLeft w:val="0"/>
          <w:marRight w:val="0"/>
          <w:marTop w:val="0"/>
          <w:marBottom w:val="0"/>
          <w:divBdr>
            <w:top w:val="none" w:sz="0" w:space="0" w:color="auto"/>
            <w:left w:val="none" w:sz="0" w:space="0" w:color="auto"/>
            <w:bottom w:val="none" w:sz="0" w:space="0" w:color="auto"/>
            <w:right w:val="none" w:sz="0" w:space="0" w:color="auto"/>
          </w:divBdr>
        </w:div>
      </w:divsChild>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588780421">
      <w:bodyDiv w:val="1"/>
      <w:marLeft w:val="0"/>
      <w:marRight w:val="0"/>
      <w:marTop w:val="0"/>
      <w:marBottom w:val="0"/>
      <w:divBdr>
        <w:top w:val="none" w:sz="0" w:space="0" w:color="auto"/>
        <w:left w:val="none" w:sz="0" w:space="0" w:color="auto"/>
        <w:bottom w:val="none" w:sz="0" w:space="0" w:color="auto"/>
        <w:right w:val="none" w:sz="0" w:space="0" w:color="auto"/>
      </w:divBdr>
    </w:div>
    <w:div w:id="606809088">
      <w:bodyDiv w:val="1"/>
      <w:marLeft w:val="0"/>
      <w:marRight w:val="0"/>
      <w:marTop w:val="0"/>
      <w:marBottom w:val="0"/>
      <w:divBdr>
        <w:top w:val="none" w:sz="0" w:space="0" w:color="auto"/>
        <w:left w:val="none" w:sz="0" w:space="0" w:color="auto"/>
        <w:bottom w:val="none" w:sz="0" w:space="0" w:color="auto"/>
        <w:right w:val="none" w:sz="0" w:space="0" w:color="auto"/>
      </w:divBdr>
      <w:divsChild>
        <w:div w:id="704672895">
          <w:marLeft w:val="0"/>
          <w:marRight w:val="0"/>
          <w:marTop w:val="0"/>
          <w:marBottom w:val="0"/>
          <w:divBdr>
            <w:top w:val="none" w:sz="0" w:space="0" w:color="auto"/>
            <w:left w:val="none" w:sz="0" w:space="0" w:color="auto"/>
            <w:bottom w:val="none" w:sz="0" w:space="0" w:color="auto"/>
            <w:right w:val="none" w:sz="0" w:space="0" w:color="auto"/>
          </w:divBdr>
        </w:div>
        <w:div w:id="1500846544">
          <w:marLeft w:val="0"/>
          <w:marRight w:val="0"/>
          <w:marTop w:val="0"/>
          <w:marBottom w:val="0"/>
          <w:divBdr>
            <w:top w:val="none" w:sz="0" w:space="0" w:color="auto"/>
            <w:left w:val="none" w:sz="0" w:space="0" w:color="auto"/>
            <w:bottom w:val="none" w:sz="0" w:space="0" w:color="auto"/>
            <w:right w:val="none" w:sz="0" w:space="0" w:color="auto"/>
          </w:divBdr>
        </w:div>
        <w:div w:id="1383865498">
          <w:marLeft w:val="0"/>
          <w:marRight w:val="0"/>
          <w:marTop w:val="0"/>
          <w:marBottom w:val="0"/>
          <w:divBdr>
            <w:top w:val="none" w:sz="0" w:space="0" w:color="auto"/>
            <w:left w:val="none" w:sz="0" w:space="0" w:color="auto"/>
            <w:bottom w:val="none" w:sz="0" w:space="0" w:color="auto"/>
            <w:right w:val="none" w:sz="0" w:space="0" w:color="auto"/>
          </w:divBdr>
        </w:div>
        <w:div w:id="1099714882">
          <w:marLeft w:val="0"/>
          <w:marRight w:val="0"/>
          <w:marTop w:val="0"/>
          <w:marBottom w:val="0"/>
          <w:divBdr>
            <w:top w:val="none" w:sz="0" w:space="0" w:color="auto"/>
            <w:left w:val="none" w:sz="0" w:space="0" w:color="auto"/>
            <w:bottom w:val="none" w:sz="0" w:space="0" w:color="auto"/>
            <w:right w:val="none" w:sz="0" w:space="0" w:color="auto"/>
          </w:divBdr>
        </w:div>
        <w:div w:id="2122525160">
          <w:marLeft w:val="0"/>
          <w:marRight w:val="0"/>
          <w:marTop w:val="0"/>
          <w:marBottom w:val="0"/>
          <w:divBdr>
            <w:top w:val="none" w:sz="0" w:space="0" w:color="auto"/>
            <w:left w:val="none" w:sz="0" w:space="0" w:color="auto"/>
            <w:bottom w:val="none" w:sz="0" w:space="0" w:color="auto"/>
            <w:right w:val="none" w:sz="0" w:space="0" w:color="auto"/>
          </w:divBdr>
        </w:div>
        <w:div w:id="864174178">
          <w:marLeft w:val="0"/>
          <w:marRight w:val="0"/>
          <w:marTop w:val="0"/>
          <w:marBottom w:val="0"/>
          <w:divBdr>
            <w:top w:val="none" w:sz="0" w:space="0" w:color="auto"/>
            <w:left w:val="none" w:sz="0" w:space="0" w:color="auto"/>
            <w:bottom w:val="none" w:sz="0" w:space="0" w:color="auto"/>
            <w:right w:val="none" w:sz="0" w:space="0" w:color="auto"/>
          </w:divBdr>
        </w:div>
        <w:div w:id="2097894267">
          <w:marLeft w:val="0"/>
          <w:marRight w:val="0"/>
          <w:marTop w:val="0"/>
          <w:marBottom w:val="0"/>
          <w:divBdr>
            <w:top w:val="none" w:sz="0" w:space="0" w:color="auto"/>
            <w:left w:val="none" w:sz="0" w:space="0" w:color="auto"/>
            <w:bottom w:val="none" w:sz="0" w:space="0" w:color="auto"/>
            <w:right w:val="none" w:sz="0" w:space="0" w:color="auto"/>
          </w:divBdr>
        </w:div>
        <w:div w:id="1214270954">
          <w:marLeft w:val="0"/>
          <w:marRight w:val="0"/>
          <w:marTop w:val="0"/>
          <w:marBottom w:val="0"/>
          <w:divBdr>
            <w:top w:val="none" w:sz="0" w:space="0" w:color="auto"/>
            <w:left w:val="none" w:sz="0" w:space="0" w:color="auto"/>
            <w:bottom w:val="none" w:sz="0" w:space="0" w:color="auto"/>
            <w:right w:val="none" w:sz="0" w:space="0" w:color="auto"/>
          </w:divBdr>
        </w:div>
        <w:div w:id="679701919">
          <w:marLeft w:val="0"/>
          <w:marRight w:val="0"/>
          <w:marTop w:val="0"/>
          <w:marBottom w:val="0"/>
          <w:divBdr>
            <w:top w:val="none" w:sz="0" w:space="0" w:color="auto"/>
            <w:left w:val="none" w:sz="0" w:space="0" w:color="auto"/>
            <w:bottom w:val="none" w:sz="0" w:space="0" w:color="auto"/>
            <w:right w:val="none" w:sz="0" w:space="0" w:color="auto"/>
          </w:divBdr>
        </w:div>
      </w:divsChild>
    </w:div>
    <w:div w:id="616958238">
      <w:bodyDiv w:val="1"/>
      <w:marLeft w:val="0"/>
      <w:marRight w:val="0"/>
      <w:marTop w:val="0"/>
      <w:marBottom w:val="0"/>
      <w:divBdr>
        <w:top w:val="none" w:sz="0" w:space="0" w:color="auto"/>
        <w:left w:val="none" w:sz="0" w:space="0" w:color="auto"/>
        <w:bottom w:val="none" w:sz="0" w:space="0" w:color="auto"/>
        <w:right w:val="none" w:sz="0" w:space="0" w:color="auto"/>
      </w:divBdr>
    </w:div>
    <w:div w:id="700979112">
      <w:bodyDiv w:val="1"/>
      <w:marLeft w:val="0"/>
      <w:marRight w:val="0"/>
      <w:marTop w:val="0"/>
      <w:marBottom w:val="0"/>
      <w:divBdr>
        <w:top w:val="none" w:sz="0" w:space="0" w:color="auto"/>
        <w:left w:val="none" w:sz="0" w:space="0" w:color="auto"/>
        <w:bottom w:val="none" w:sz="0" w:space="0" w:color="auto"/>
        <w:right w:val="none" w:sz="0" w:space="0" w:color="auto"/>
      </w:divBdr>
    </w:div>
    <w:div w:id="753741284">
      <w:bodyDiv w:val="1"/>
      <w:marLeft w:val="0"/>
      <w:marRight w:val="0"/>
      <w:marTop w:val="0"/>
      <w:marBottom w:val="0"/>
      <w:divBdr>
        <w:top w:val="none" w:sz="0" w:space="0" w:color="auto"/>
        <w:left w:val="none" w:sz="0" w:space="0" w:color="auto"/>
        <w:bottom w:val="none" w:sz="0" w:space="0" w:color="auto"/>
        <w:right w:val="none" w:sz="0" w:space="0" w:color="auto"/>
      </w:divBdr>
    </w:div>
    <w:div w:id="1008943988">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sChild>
        <w:div w:id="1173837581">
          <w:marLeft w:val="0"/>
          <w:marRight w:val="0"/>
          <w:marTop w:val="0"/>
          <w:marBottom w:val="0"/>
          <w:divBdr>
            <w:top w:val="none" w:sz="0" w:space="0" w:color="auto"/>
            <w:left w:val="none" w:sz="0" w:space="0" w:color="auto"/>
            <w:bottom w:val="none" w:sz="0" w:space="0" w:color="auto"/>
            <w:right w:val="none" w:sz="0" w:space="0" w:color="auto"/>
          </w:divBdr>
        </w:div>
        <w:div w:id="559561654">
          <w:marLeft w:val="0"/>
          <w:marRight w:val="0"/>
          <w:marTop w:val="0"/>
          <w:marBottom w:val="0"/>
          <w:divBdr>
            <w:top w:val="none" w:sz="0" w:space="0" w:color="auto"/>
            <w:left w:val="none" w:sz="0" w:space="0" w:color="auto"/>
            <w:bottom w:val="none" w:sz="0" w:space="0" w:color="auto"/>
            <w:right w:val="none" w:sz="0" w:space="0" w:color="auto"/>
          </w:divBdr>
        </w:div>
        <w:div w:id="1586842446">
          <w:marLeft w:val="0"/>
          <w:marRight w:val="0"/>
          <w:marTop w:val="0"/>
          <w:marBottom w:val="0"/>
          <w:divBdr>
            <w:top w:val="none" w:sz="0" w:space="0" w:color="auto"/>
            <w:left w:val="none" w:sz="0" w:space="0" w:color="auto"/>
            <w:bottom w:val="none" w:sz="0" w:space="0" w:color="auto"/>
            <w:right w:val="none" w:sz="0" w:space="0" w:color="auto"/>
          </w:divBdr>
        </w:div>
        <w:div w:id="257913043">
          <w:marLeft w:val="0"/>
          <w:marRight w:val="0"/>
          <w:marTop w:val="0"/>
          <w:marBottom w:val="0"/>
          <w:divBdr>
            <w:top w:val="none" w:sz="0" w:space="0" w:color="auto"/>
            <w:left w:val="none" w:sz="0" w:space="0" w:color="auto"/>
            <w:bottom w:val="none" w:sz="0" w:space="0" w:color="auto"/>
            <w:right w:val="none" w:sz="0" w:space="0" w:color="auto"/>
          </w:divBdr>
        </w:div>
        <w:div w:id="1867593550">
          <w:marLeft w:val="0"/>
          <w:marRight w:val="0"/>
          <w:marTop w:val="0"/>
          <w:marBottom w:val="0"/>
          <w:divBdr>
            <w:top w:val="none" w:sz="0" w:space="0" w:color="auto"/>
            <w:left w:val="none" w:sz="0" w:space="0" w:color="auto"/>
            <w:bottom w:val="none" w:sz="0" w:space="0" w:color="auto"/>
            <w:right w:val="none" w:sz="0" w:space="0" w:color="auto"/>
          </w:divBdr>
        </w:div>
        <w:div w:id="1200557664">
          <w:marLeft w:val="0"/>
          <w:marRight w:val="0"/>
          <w:marTop w:val="0"/>
          <w:marBottom w:val="0"/>
          <w:divBdr>
            <w:top w:val="none" w:sz="0" w:space="0" w:color="auto"/>
            <w:left w:val="none" w:sz="0" w:space="0" w:color="auto"/>
            <w:bottom w:val="none" w:sz="0" w:space="0" w:color="auto"/>
            <w:right w:val="none" w:sz="0" w:space="0" w:color="auto"/>
          </w:divBdr>
        </w:div>
        <w:div w:id="1959141211">
          <w:marLeft w:val="0"/>
          <w:marRight w:val="0"/>
          <w:marTop w:val="0"/>
          <w:marBottom w:val="0"/>
          <w:divBdr>
            <w:top w:val="none" w:sz="0" w:space="0" w:color="auto"/>
            <w:left w:val="none" w:sz="0" w:space="0" w:color="auto"/>
            <w:bottom w:val="none" w:sz="0" w:space="0" w:color="auto"/>
            <w:right w:val="none" w:sz="0" w:space="0" w:color="auto"/>
          </w:divBdr>
        </w:div>
        <w:div w:id="2049641210">
          <w:marLeft w:val="0"/>
          <w:marRight w:val="0"/>
          <w:marTop w:val="0"/>
          <w:marBottom w:val="0"/>
          <w:divBdr>
            <w:top w:val="none" w:sz="0" w:space="0" w:color="auto"/>
            <w:left w:val="none" w:sz="0" w:space="0" w:color="auto"/>
            <w:bottom w:val="none" w:sz="0" w:space="0" w:color="auto"/>
            <w:right w:val="none" w:sz="0" w:space="0" w:color="auto"/>
          </w:divBdr>
        </w:div>
        <w:div w:id="363946813">
          <w:marLeft w:val="0"/>
          <w:marRight w:val="0"/>
          <w:marTop w:val="0"/>
          <w:marBottom w:val="0"/>
          <w:divBdr>
            <w:top w:val="none" w:sz="0" w:space="0" w:color="auto"/>
            <w:left w:val="none" w:sz="0" w:space="0" w:color="auto"/>
            <w:bottom w:val="none" w:sz="0" w:space="0" w:color="auto"/>
            <w:right w:val="none" w:sz="0" w:space="0" w:color="auto"/>
          </w:divBdr>
        </w:div>
      </w:divsChild>
    </w:div>
    <w:div w:id="1066878843">
      <w:bodyDiv w:val="1"/>
      <w:marLeft w:val="0"/>
      <w:marRight w:val="0"/>
      <w:marTop w:val="0"/>
      <w:marBottom w:val="0"/>
      <w:divBdr>
        <w:top w:val="none" w:sz="0" w:space="0" w:color="auto"/>
        <w:left w:val="none" w:sz="0" w:space="0" w:color="auto"/>
        <w:bottom w:val="none" w:sz="0" w:space="0" w:color="auto"/>
        <w:right w:val="none" w:sz="0" w:space="0" w:color="auto"/>
      </w:divBdr>
    </w:div>
    <w:div w:id="1088381218">
      <w:bodyDiv w:val="1"/>
      <w:marLeft w:val="0"/>
      <w:marRight w:val="0"/>
      <w:marTop w:val="0"/>
      <w:marBottom w:val="0"/>
      <w:divBdr>
        <w:top w:val="none" w:sz="0" w:space="0" w:color="auto"/>
        <w:left w:val="none" w:sz="0" w:space="0" w:color="auto"/>
        <w:bottom w:val="none" w:sz="0" w:space="0" w:color="auto"/>
        <w:right w:val="none" w:sz="0" w:space="0" w:color="auto"/>
      </w:divBdr>
      <w:divsChild>
        <w:div w:id="895432790">
          <w:marLeft w:val="0"/>
          <w:marRight w:val="0"/>
          <w:marTop w:val="0"/>
          <w:marBottom w:val="0"/>
          <w:divBdr>
            <w:top w:val="none" w:sz="0" w:space="0" w:color="auto"/>
            <w:left w:val="none" w:sz="0" w:space="0" w:color="auto"/>
            <w:bottom w:val="none" w:sz="0" w:space="0" w:color="auto"/>
            <w:right w:val="none" w:sz="0" w:space="0" w:color="auto"/>
          </w:divBdr>
          <w:divsChild>
            <w:div w:id="2095472178">
              <w:marLeft w:val="0"/>
              <w:marRight w:val="0"/>
              <w:marTop w:val="0"/>
              <w:marBottom w:val="0"/>
              <w:divBdr>
                <w:top w:val="none" w:sz="0" w:space="0" w:color="auto"/>
                <w:left w:val="none" w:sz="0" w:space="0" w:color="auto"/>
                <w:bottom w:val="none" w:sz="0" w:space="0" w:color="auto"/>
                <w:right w:val="none" w:sz="0" w:space="0" w:color="auto"/>
              </w:divBdr>
              <w:divsChild>
                <w:div w:id="1251692903">
                  <w:marLeft w:val="0"/>
                  <w:marRight w:val="0"/>
                  <w:marTop w:val="0"/>
                  <w:marBottom w:val="0"/>
                  <w:divBdr>
                    <w:top w:val="none" w:sz="0" w:space="0" w:color="auto"/>
                    <w:left w:val="none" w:sz="0" w:space="0" w:color="auto"/>
                    <w:bottom w:val="none" w:sz="0" w:space="0" w:color="auto"/>
                    <w:right w:val="none" w:sz="0" w:space="0" w:color="auto"/>
                  </w:divBdr>
                  <w:divsChild>
                    <w:div w:id="1819376707">
                      <w:marLeft w:val="0"/>
                      <w:marRight w:val="0"/>
                      <w:marTop w:val="0"/>
                      <w:marBottom w:val="0"/>
                      <w:divBdr>
                        <w:top w:val="none" w:sz="0" w:space="0" w:color="auto"/>
                        <w:left w:val="none" w:sz="0" w:space="0" w:color="auto"/>
                        <w:bottom w:val="none" w:sz="0" w:space="0" w:color="auto"/>
                        <w:right w:val="none" w:sz="0" w:space="0" w:color="auto"/>
                      </w:divBdr>
                      <w:divsChild>
                        <w:div w:id="414127405">
                          <w:marLeft w:val="0"/>
                          <w:marRight w:val="0"/>
                          <w:marTop w:val="0"/>
                          <w:marBottom w:val="0"/>
                          <w:divBdr>
                            <w:top w:val="none" w:sz="0" w:space="0" w:color="auto"/>
                            <w:left w:val="none" w:sz="0" w:space="0" w:color="auto"/>
                            <w:bottom w:val="none" w:sz="0" w:space="0" w:color="auto"/>
                            <w:right w:val="none" w:sz="0" w:space="0" w:color="auto"/>
                          </w:divBdr>
                          <w:divsChild>
                            <w:div w:id="13585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1691">
      <w:bodyDiv w:val="1"/>
      <w:marLeft w:val="0"/>
      <w:marRight w:val="0"/>
      <w:marTop w:val="0"/>
      <w:marBottom w:val="0"/>
      <w:divBdr>
        <w:top w:val="none" w:sz="0" w:space="0" w:color="auto"/>
        <w:left w:val="none" w:sz="0" w:space="0" w:color="auto"/>
        <w:bottom w:val="none" w:sz="0" w:space="0" w:color="auto"/>
        <w:right w:val="none" w:sz="0" w:space="0" w:color="auto"/>
      </w:divBdr>
    </w:div>
    <w:div w:id="1495879314">
      <w:bodyDiv w:val="1"/>
      <w:marLeft w:val="0"/>
      <w:marRight w:val="0"/>
      <w:marTop w:val="0"/>
      <w:marBottom w:val="0"/>
      <w:divBdr>
        <w:top w:val="none" w:sz="0" w:space="0" w:color="auto"/>
        <w:left w:val="none" w:sz="0" w:space="0" w:color="auto"/>
        <w:bottom w:val="none" w:sz="0" w:space="0" w:color="auto"/>
        <w:right w:val="none" w:sz="0" w:space="0" w:color="auto"/>
      </w:divBdr>
    </w:div>
    <w:div w:id="1644314753">
      <w:bodyDiv w:val="1"/>
      <w:marLeft w:val="0"/>
      <w:marRight w:val="0"/>
      <w:marTop w:val="0"/>
      <w:marBottom w:val="0"/>
      <w:divBdr>
        <w:top w:val="none" w:sz="0" w:space="0" w:color="auto"/>
        <w:left w:val="none" w:sz="0" w:space="0" w:color="auto"/>
        <w:bottom w:val="none" w:sz="0" w:space="0" w:color="auto"/>
        <w:right w:val="none" w:sz="0" w:space="0" w:color="auto"/>
      </w:divBdr>
    </w:div>
    <w:div w:id="1691952650">
      <w:bodyDiv w:val="1"/>
      <w:marLeft w:val="0"/>
      <w:marRight w:val="0"/>
      <w:marTop w:val="0"/>
      <w:marBottom w:val="0"/>
      <w:divBdr>
        <w:top w:val="none" w:sz="0" w:space="0" w:color="auto"/>
        <w:left w:val="none" w:sz="0" w:space="0" w:color="auto"/>
        <w:bottom w:val="none" w:sz="0" w:space="0" w:color="auto"/>
        <w:right w:val="none" w:sz="0" w:space="0" w:color="auto"/>
      </w:divBdr>
    </w:div>
    <w:div w:id="1700088116">
      <w:bodyDiv w:val="1"/>
      <w:marLeft w:val="0"/>
      <w:marRight w:val="0"/>
      <w:marTop w:val="0"/>
      <w:marBottom w:val="0"/>
      <w:divBdr>
        <w:top w:val="none" w:sz="0" w:space="0" w:color="auto"/>
        <w:left w:val="none" w:sz="0" w:space="0" w:color="auto"/>
        <w:bottom w:val="none" w:sz="0" w:space="0" w:color="auto"/>
        <w:right w:val="none" w:sz="0" w:space="0" w:color="auto"/>
      </w:divBdr>
    </w:div>
    <w:div w:id="1746412620">
      <w:bodyDiv w:val="1"/>
      <w:marLeft w:val="0"/>
      <w:marRight w:val="0"/>
      <w:marTop w:val="0"/>
      <w:marBottom w:val="0"/>
      <w:divBdr>
        <w:top w:val="none" w:sz="0" w:space="0" w:color="auto"/>
        <w:left w:val="none" w:sz="0" w:space="0" w:color="auto"/>
        <w:bottom w:val="none" w:sz="0" w:space="0" w:color="auto"/>
        <w:right w:val="none" w:sz="0" w:space="0" w:color="auto"/>
      </w:divBdr>
    </w:div>
    <w:div w:id="1746759518">
      <w:bodyDiv w:val="1"/>
      <w:marLeft w:val="0"/>
      <w:marRight w:val="0"/>
      <w:marTop w:val="0"/>
      <w:marBottom w:val="0"/>
      <w:divBdr>
        <w:top w:val="none" w:sz="0" w:space="0" w:color="auto"/>
        <w:left w:val="none" w:sz="0" w:space="0" w:color="auto"/>
        <w:bottom w:val="none" w:sz="0" w:space="0" w:color="auto"/>
        <w:right w:val="none" w:sz="0" w:space="0" w:color="auto"/>
      </w:divBdr>
    </w:div>
    <w:div w:id="20904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ernment.nl/topics/dutch-nationality/stateless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8B9FF-AEBE-45F2-98FB-F5A2B8D27692}"/>
</file>

<file path=customXml/itemProps2.xml><?xml version="1.0" encoding="utf-8"?>
<ds:datastoreItem xmlns:ds="http://schemas.openxmlformats.org/officeDocument/2006/customXml" ds:itemID="{2B1C9685-BB64-4843-ABFE-5C022243B6C0}"/>
</file>

<file path=customXml/itemProps3.xml><?xml version="1.0" encoding="utf-8"?>
<ds:datastoreItem xmlns:ds="http://schemas.openxmlformats.org/officeDocument/2006/customXml" ds:itemID="{E7504A13-B64A-441D-B17C-1F12D44E7124}"/>
</file>

<file path=customXml/itemProps4.xml><?xml version="1.0" encoding="utf-8"?>
<ds:datastoreItem xmlns:ds="http://schemas.openxmlformats.org/officeDocument/2006/customXml" ds:itemID="{7EF4A6E7-643D-4CD7-99DA-EF7428C6CDB3}"/>
</file>

<file path=docProps/app.xml><?xml version="1.0" encoding="utf-8"?>
<Properties xmlns="http://schemas.openxmlformats.org/officeDocument/2006/extended-properties" xmlns:vt="http://schemas.openxmlformats.org/officeDocument/2006/docPropsVTypes">
  <Template>CCPR_E.dotm</Template>
  <TotalTime>237</TotalTime>
  <Pages>13</Pages>
  <Words>6965</Words>
  <Characters>39706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CCPR/C/125/DR/2498/2014</vt:lpstr>
    </vt:vector>
  </TitlesOfParts>
  <Company>CSD</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CCPR/C/125/DR/2498/2014</dc:title>
  <dc:subject>1903929</dc:subject>
  <dc:creator>temp Neogi</dc:creator>
  <cp:keywords/>
  <dc:description/>
  <cp:lastModifiedBy>ABDELAZIM Mohamed</cp:lastModifiedBy>
  <cp:revision>50</cp:revision>
  <cp:lastPrinted>2018-12-20T11:59:00Z</cp:lastPrinted>
  <dcterms:created xsi:type="dcterms:W3CDTF">2019-03-19T14:09:00Z</dcterms:created>
  <dcterms:modified xsi:type="dcterms:W3CDTF">2019-04-16T12:22:00Z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