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52345619" w14:textId="77777777" w:rsidTr="00F603F4">
        <w:trPr>
          <w:cantSplit/>
          <w:trHeight w:hRule="exact" w:val="851"/>
        </w:trPr>
        <w:tc>
          <w:tcPr>
            <w:tcW w:w="1276" w:type="dxa"/>
            <w:tcBorders>
              <w:bottom w:val="single" w:sz="4" w:space="0" w:color="auto"/>
            </w:tcBorders>
            <w:vAlign w:val="bottom"/>
          </w:tcPr>
          <w:p w14:paraId="51AAFD68" w14:textId="77777777" w:rsidR="00165C15" w:rsidRPr="0036554A" w:rsidRDefault="00165C15" w:rsidP="00F603F4">
            <w:pPr>
              <w:spacing w:after="80"/>
              <w:rPr>
                <w:lang w:val="es-ES"/>
              </w:rPr>
            </w:pPr>
          </w:p>
        </w:tc>
        <w:tc>
          <w:tcPr>
            <w:tcW w:w="2268" w:type="dxa"/>
            <w:tcBorders>
              <w:bottom w:val="single" w:sz="4" w:space="0" w:color="auto"/>
            </w:tcBorders>
            <w:vAlign w:val="bottom"/>
          </w:tcPr>
          <w:p w14:paraId="27C86D9A" w14:textId="77777777"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14:paraId="4F217939" w14:textId="2D21CA46" w:rsidR="00165C15" w:rsidRPr="0036554A" w:rsidRDefault="006A31AE" w:rsidP="00F85DD4">
            <w:pPr>
              <w:suppressAutoHyphens w:val="0"/>
              <w:spacing w:after="20"/>
              <w:jc w:val="right"/>
              <w:rPr>
                <w:sz w:val="40"/>
                <w:lang w:val="es-ES"/>
              </w:rPr>
            </w:pPr>
            <w:r w:rsidRPr="0036554A">
              <w:rPr>
                <w:sz w:val="40"/>
                <w:lang w:val="es-ES"/>
              </w:rPr>
              <w:t>CCPR</w:t>
            </w:r>
            <w:r w:rsidRPr="0036554A">
              <w:rPr>
                <w:lang w:val="es-ES"/>
              </w:rPr>
              <w:t>/C/</w:t>
            </w:r>
            <w:r w:rsidR="00F85DD4">
              <w:rPr>
                <w:lang w:val="es-ES"/>
              </w:rPr>
              <w:t>127</w:t>
            </w:r>
            <w:r w:rsidRPr="0036554A">
              <w:rPr>
                <w:lang w:val="es-ES"/>
              </w:rPr>
              <w:t>/D/</w:t>
            </w:r>
            <w:r w:rsidR="00F85DD4">
              <w:rPr>
                <w:lang w:val="es-ES"/>
              </w:rPr>
              <w:t>3085</w:t>
            </w:r>
            <w:r w:rsidRPr="0036554A">
              <w:rPr>
                <w:lang w:val="es-ES"/>
              </w:rPr>
              <w:t>/</w:t>
            </w:r>
            <w:r w:rsidR="00F85DD4">
              <w:rPr>
                <w:lang w:val="es-ES"/>
              </w:rPr>
              <w:t>2017</w:t>
            </w:r>
          </w:p>
        </w:tc>
      </w:tr>
      <w:tr w:rsidR="0036554A" w:rsidRPr="0017670F" w14:paraId="750CA76D" w14:textId="77777777" w:rsidTr="004A72F6">
        <w:trPr>
          <w:cantSplit/>
          <w:trHeight w:hRule="exact" w:val="2835"/>
        </w:trPr>
        <w:tc>
          <w:tcPr>
            <w:tcW w:w="1276" w:type="dxa"/>
            <w:tcBorders>
              <w:top w:val="single" w:sz="4" w:space="0" w:color="auto"/>
              <w:bottom w:val="single" w:sz="12" w:space="0" w:color="auto"/>
            </w:tcBorders>
          </w:tcPr>
          <w:p w14:paraId="3CD7E77B" w14:textId="77777777" w:rsidR="00165C15" w:rsidRPr="0036554A" w:rsidRDefault="00165C15" w:rsidP="00F603F4">
            <w:pPr>
              <w:spacing w:before="120"/>
              <w:rPr>
                <w:lang w:val="es-ES"/>
              </w:rPr>
            </w:pPr>
            <w:r w:rsidRPr="0036554A">
              <w:rPr>
                <w:noProof/>
                <w:lang w:eastAsia="en-GB"/>
              </w:rPr>
              <w:drawing>
                <wp:inline distT="0" distB="0" distL="0" distR="0" wp14:anchorId="2C714987" wp14:editId="111E93E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75A4D0" w14:textId="77777777" w:rsidR="00165C15" w:rsidRDefault="003A3F12" w:rsidP="00F603F4">
            <w:pPr>
              <w:spacing w:before="120" w:line="380" w:lineRule="exact"/>
              <w:rPr>
                <w:b/>
                <w:sz w:val="34"/>
                <w:szCs w:val="34"/>
                <w:lang w:val="es-ES"/>
              </w:rPr>
            </w:pPr>
            <w:r w:rsidRPr="00280BCD">
              <w:rPr>
                <w:b/>
                <w:sz w:val="34"/>
                <w:szCs w:val="34"/>
                <w:lang w:val="es-ES"/>
              </w:rPr>
              <w:t>Pacto Internacional de Derechos</w:t>
            </w:r>
            <w:r w:rsidRPr="00280BCD">
              <w:rPr>
                <w:b/>
                <w:sz w:val="34"/>
                <w:szCs w:val="34"/>
                <w:lang w:val="es-ES"/>
              </w:rPr>
              <w:br/>
              <w:t>Civiles y Políticos</w:t>
            </w:r>
          </w:p>
          <w:p w14:paraId="41D830D3" w14:textId="1C43C4CE" w:rsidR="007E753F" w:rsidRPr="007B1BCB" w:rsidRDefault="007E753F" w:rsidP="00F603F4">
            <w:pPr>
              <w:spacing w:before="120" w:line="380" w:lineRule="exact"/>
              <w:rPr>
                <w:sz w:val="34"/>
                <w:lang w:val="es-ES"/>
              </w:rPr>
            </w:pPr>
            <w:proofErr w:type="spellStart"/>
            <w:r w:rsidRPr="00C13626">
              <w:rPr>
                <w:b/>
                <w:sz w:val="34"/>
              </w:rPr>
              <w:t>Edición</w:t>
            </w:r>
            <w:proofErr w:type="spellEnd"/>
            <w:r w:rsidRPr="00C13626">
              <w:rPr>
                <w:b/>
                <w:sz w:val="34"/>
              </w:rPr>
              <w:t xml:space="preserve"> </w:t>
            </w:r>
            <w:proofErr w:type="spellStart"/>
            <w:r w:rsidRPr="00C13626">
              <w:rPr>
                <w:b/>
                <w:sz w:val="34"/>
              </w:rPr>
              <w:t>avanzada</w:t>
            </w:r>
            <w:proofErr w:type="spellEnd"/>
            <w:r w:rsidRPr="00C13626">
              <w:rPr>
                <w:b/>
                <w:sz w:val="34"/>
              </w:rPr>
              <w:t xml:space="preserve"> sin </w:t>
            </w:r>
            <w:proofErr w:type="spellStart"/>
            <w:r w:rsidRPr="00C13626">
              <w:rPr>
                <w:b/>
                <w:sz w:val="34"/>
              </w:rPr>
              <w:t>editar</w:t>
            </w:r>
            <w:proofErr w:type="spellEnd"/>
          </w:p>
        </w:tc>
        <w:tc>
          <w:tcPr>
            <w:tcW w:w="2835" w:type="dxa"/>
            <w:tcBorders>
              <w:top w:val="single" w:sz="4" w:space="0" w:color="auto"/>
              <w:bottom w:val="single" w:sz="12" w:space="0" w:color="auto"/>
            </w:tcBorders>
          </w:tcPr>
          <w:p w14:paraId="1DD5F202" w14:textId="0A07EF97" w:rsidR="00165C15" w:rsidRPr="0036554A" w:rsidRDefault="006A31AE" w:rsidP="00F603F4">
            <w:pPr>
              <w:suppressAutoHyphens w:val="0"/>
              <w:spacing w:before="240" w:line="240" w:lineRule="exact"/>
              <w:rPr>
                <w:lang w:val="es-ES"/>
              </w:rPr>
            </w:pPr>
            <w:proofErr w:type="spellStart"/>
            <w:r w:rsidRPr="0036554A">
              <w:rPr>
                <w:lang w:val="es-ES"/>
              </w:rPr>
              <w:t>Distr</w:t>
            </w:r>
            <w:proofErr w:type="spellEnd"/>
            <w:proofErr w:type="gramStart"/>
            <w:r w:rsidRPr="0036554A">
              <w:rPr>
                <w:lang w:val="es-ES"/>
              </w:rPr>
              <w:t>.:</w:t>
            </w:r>
            <w:r w:rsidR="00C732F6">
              <w:rPr>
                <w:lang w:val="es-ES"/>
              </w:rPr>
              <w:t>general</w:t>
            </w:r>
            <w:proofErr w:type="gramEnd"/>
          </w:p>
          <w:p w14:paraId="33B20B06" w14:textId="6CBC2FC4" w:rsidR="006A31AE" w:rsidRDefault="007E753F" w:rsidP="00F603F4">
            <w:pPr>
              <w:suppressAutoHyphens w:val="0"/>
              <w:rPr>
                <w:lang w:val="es-ES"/>
              </w:rPr>
            </w:pPr>
            <w:r>
              <w:rPr>
                <w:lang w:val="es-ES"/>
              </w:rPr>
              <w:t>14</w:t>
            </w:r>
            <w:r w:rsidR="0017670F">
              <w:rPr>
                <w:lang w:val="es-ES"/>
              </w:rPr>
              <w:t xml:space="preserve"> de </w:t>
            </w:r>
            <w:r>
              <w:rPr>
                <w:lang w:val="es-ES"/>
              </w:rPr>
              <w:t>enero</w:t>
            </w:r>
            <w:r w:rsidR="0043793E" w:rsidRPr="0043793E">
              <w:rPr>
                <w:lang w:val="es-ES"/>
              </w:rPr>
              <w:t xml:space="preserve"> </w:t>
            </w:r>
            <w:r w:rsidR="00A03D75">
              <w:rPr>
                <w:lang w:val="es-ES"/>
              </w:rPr>
              <w:t xml:space="preserve">de </w:t>
            </w:r>
            <w:r w:rsidR="0043793E" w:rsidRPr="0043793E">
              <w:rPr>
                <w:lang w:val="es-ES"/>
              </w:rPr>
              <w:t>20</w:t>
            </w:r>
            <w:r>
              <w:rPr>
                <w:lang w:val="es-ES"/>
              </w:rPr>
              <w:t>20</w:t>
            </w:r>
          </w:p>
          <w:p w14:paraId="505DA5EB" w14:textId="77777777" w:rsidR="0043793E" w:rsidRPr="00280BCD" w:rsidRDefault="0043793E" w:rsidP="00F603F4">
            <w:pPr>
              <w:suppressAutoHyphens w:val="0"/>
              <w:rPr>
                <w:lang w:val="es-ES"/>
              </w:rPr>
            </w:pPr>
          </w:p>
          <w:p w14:paraId="33B2FFD0" w14:textId="0A81696B" w:rsidR="006A31AE" w:rsidRPr="0036554A" w:rsidRDefault="006A31AE" w:rsidP="0017670F">
            <w:pPr>
              <w:suppressAutoHyphens w:val="0"/>
              <w:rPr>
                <w:lang w:val="es-ES"/>
              </w:rPr>
            </w:pPr>
            <w:r w:rsidRPr="0036554A">
              <w:rPr>
                <w:lang w:val="es-ES"/>
              </w:rPr>
              <w:t xml:space="preserve">Original: </w:t>
            </w:r>
            <w:r w:rsidR="003A3F12" w:rsidRPr="0036554A">
              <w:rPr>
                <w:lang w:val="es-ES"/>
              </w:rPr>
              <w:t>español</w:t>
            </w:r>
            <w:r w:rsidR="007E2A6F">
              <w:rPr>
                <w:lang w:val="es-ES"/>
              </w:rPr>
              <w:br/>
            </w:r>
          </w:p>
        </w:tc>
      </w:tr>
    </w:tbl>
    <w:p w14:paraId="017FEAC6" w14:textId="77777777" w:rsidR="00997D8D" w:rsidRPr="0036554A" w:rsidRDefault="00997D8D" w:rsidP="00997D8D">
      <w:pPr>
        <w:spacing w:before="120"/>
        <w:rPr>
          <w:b/>
          <w:sz w:val="24"/>
          <w:szCs w:val="24"/>
          <w:lang w:val="es-ES"/>
        </w:rPr>
      </w:pPr>
      <w:r w:rsidRPr="0036554A">
        <w:rPr>
          <w:b/>
          <w:sz w:val="24"/>
          <w:szCs w:val="24"/>
          <w:lang w:val="es-ES"/>
        </w:rPr>
        <w:t>Comité de Derechos Humanos</w:t>
      </w:r>
    </w:p>
    <w:p w14:paraId="66B7F7DF" w14:textId="12CBCFB9" w:rsidR="006A31AE" w:rsidRPr="0036554A" w:rsidRDefault="006A31AE" w:rsidP="006A31AE">
      <w:pPr>
        <w:pStyle w:val="HChG"/>
        <w:rPr>
          <w:lang w:val="es-ES"/>
        </w:rPr>
      </w:pPr>
      <w:r w:rsidRPr="0036554A">
        <w:rPr>
          <w:lang w:val="es-ES"/>
        </w:rPr>
        <w:tab/>
      </w:r>
      <w:r w:rsidRPr="0036554A">
        <w:rPr>
          <w:lang w:val="es-ES"/>
        </w:rPr>
        <w:tab/>
      </w:r>
      <w:r w:rsidR="0017670F">
        <w:rPr>
          <w:lang w:val="es-ES"/>
        </w:rPr>
        <w:t>Dictamen adoptado por el Comité de acuerdo con el artículo 5 (4) del Protocolo facultativo en relación con la c</w:t>
      </w:r>
      <w:r w:rsidR="00F40CA5" w:rsidRPr="0036554A">
        <w:rPr>
          <w:lang w:val="es-ES"/>
        </w:rPr>
        <w:t>omunicación</w:t>
      </w:r>
      <w:r w:rsidRPr="0036554A">
        <w:rPr>
          <w:lang w:val="es-ES"/>
        </w:rPr>
        <w:t xml:space="preserve"> </w:t>
      </w:r>
      <w:r w:rsidR="007C5636">
        <w:rPr>
          <w:lang w:val="es-ES"/>
        </w:rPr>
        <w:t>n</w:t>
      </w:r>
      <w:r w:rsidR="0036554A">
        <w:rPr>
          <w:lang w:val="es-ES"/>
        </w:rPr>
        <w:t>úm</w:t>
      </w:r>
      <w:r w:rsidRPr="0036554A">
        <w:rPr>
          <w:lang w:val="es-ES"/>
        </w:rPr>
        <w:t xml:space="preserve">. </w:t>
      </w:r>
      <w:r w:rsidR="00F85DD4">
        <w:rPr>
          <w:lang w:val="es-ES"/>
        </w:rPr>
        <w:t>3085</w:t>
      </w:r>
      <w:r w:rsidRPr="0036554A">
        <w:rPr>
          <w:lang w:val="es-ES"/>
        </w:rPr>
        <w:t>/</w:t>
      </w:r>
      <w:r w:rsidR="00F85DD4">
        <w:rPr>
          <w:lang w:val="es-ES"/>
        </w:rPr>
        <w:t>2017</w:t>
      </w:r>
      <w:r w:rsidR="007E753F" w:rsidRPr="007E753F">
        <w:rPr>
          <w:rStyle w:val="FootnoteReference"/>
          <w:sz w:val="20"/>
          <w:vertAlign w:val="baseline"/>
          <w:lang w:val="es-ES"/>
        </w:rPr>
        <w:footnoteReference w:customMarkFollows="1" w:id="1"/>
        <w:t>*</w:t>
      </w:r>
      <w:r w:rsidR="007E753F">
        <w:rPr>
          <w:sz w:val="20"/>
          <w:lang w:val="es-ES"/>
        </w:rPr>
        <w:t>,</w:t>
      </w:r>
      <w:r w:rsidR="007E753F" w:rsidRPr="007E753F">
        <w:rPr>
          <w:rStyle w:val="FootnoteReference"/>
          <w:sz w:val="20"/>
          <w:vertAlign w:val="baseline"/>
          <w:lang w:val="es-ES"/>
        </w:rPr>
        <w:footnoteReference w:customMarkFollows="1" w:id="2"/>
        <w:t>**</w:t>
      </w:r>
    </w:p>
    <w:p w14:paraId="3AAD052C" w14:textId="5F6A4A43" w:rsidR="006A31AE" w:rsidRPr="0036554A" w:rsidRDefault="006A31AE" w:rsidP="006A31AE">
      <w:pPr>
        <w:pStyle w:val="H1G"/>
        <w:rPr>
          <w:rFonts w:eastAsia="MS Mincho"/>
          <w:lang w:val="es-ES"/>
        </w:rPr>
      </w:pPr>
      <w:r w:rsidRPr="0036554A">
        <w:rPr>
          <w:rFonts w:eastAsia="MS Mincho"/>
          <w:lang w:val="es-ES"/>
        </w:rPr>
        <w:tab/>
      </w:r>
      <w:r w:rsidRPr="0036554A">
        <w:rPr>
          <w:rFonts w:eastAsia="MS Mincho"/>
          <w:lang w:val="es-ES"/>
        </w:rPr>
        <w:tab/>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3260"/>
      </w:tblGrid>
      <w:tr w:rsidR="0036554A" w:rsidRPr="00027475" w14:paraId="2648C942" w14:textId="77777777" w:rsidTr="00581E59">
        <w:tc>
          <w:tcPr>
            <w:tcW w:w="3544" w:type="dxa"/>
          </w:tcPr>
          <w:p w14:paraId="1AAC36B0" w14:textId="77777777" w:rsidR="006A31AE" w:rsidRPr="0036554A" w:rsidRDefault="0013341D" w:rsidP="0013341D">
            <w:pPr>
              <w:pStyle w:val="SingleTxtG"/>
              <w:ind w:left="0" w:right="0"/>
              <w:jc w:val="left"/>
              <w:rPr>
                <w:i/>
                <w:lang w:val="es-ES"/>
              </w:rPr>
            </w:pPr>
            <w:r w:rsidRPr="0036554A">
              <w:rPr>
                <w:i/>
                <w:lang w:val="es-ES"/>
              </w:rPr>
              <w:t>Comunicación</w:t>
            </w:r>
            <w:r w:rsidR="006A31AE" w:rsidRPr="0036554A">
              <w:rPr>
                <w:i/>
                <w:lang w:val="es-ES"/>
              </w:rPr>
              <w:t xml:space="preserve"> </w:t>
            </w:r>
            <w:r w:rsidRPr="0036554A">
              <w:rPr>
                <w:i/>
                <w:lang w:val="es-ES"/>
              </w:rPr>
              <w:t>presentada</w:t>
            </w:r>
            <w:r w:rsidR="006A31AE" w:rsidRPr="0036554A">
              <w:rPr>
                <w:i/>
                <w:lang w:val="es-ES"/>
              </w:rPr>
              <w:t xml:space="preserve"> </w:t>
            </w:r>
            <w:r w:rsidRPr="0036554A">
              <w:rPr>
                <w:i/>
                <w:lang w:val="es-ES"/>
              </w:rPr>
              <w:t>por</w:t>
            </w:r>
            <w:r w:rsidR="006A31AE" w:rsidRPr="0036554A">
              <w:rPr>
                <w:i/>
                <w:lang w:val="es-ES"/>
              </w:rPr>
              <w:t>:</w:t>
            </w:r>
          </w:p>
        </w:tc>
        <w:tc>
          <w:tcPr>
            <w:tcW w:w="3260" w:type="dxa"/>
          </w:tcPr>
          <w:p w14:paraId="5BBABF46" w14:textId="760ADDC7" w:rsidR="006A31AE" w:rsidRPr="0036554A" w:rsidRDefault="00F85DD4" w:rsidP="00C22E27">
            <w:pPr>
              <w:pStyle w:val="SingleTxtG"/>
              <w:ind w:left="0" w:right="0"/>
              <w:jc w:val="left"/>
              <w:rPr>
                <w:lang w:val="es-ES"/>
              </w:rPr>
            </w:pPr>
            <w:r>
              <w:rPr>
                <w:lang w:val="es-ES"/>
              </w:rPr>
              <w:t>Z B E</w:t>
            </w:r>
            <w:r w:rsidR="00C22E27">
              <w:rPr>
                <w:lang w:val="es-ES"/>
              </w:rPr>
              <w:t xml:space="preserve"> </w:t>
            </w:r>
            <w:r>
              <w:rPr>
                <w:lang w:val="es-ES"/>
              </w:rPr>
              <w:t>(representada por abogado José Luís Mazón Costa)</w:t>
            </w:r>
          </w:p>
        </w:tc>
      </w:tr>
      <w:tr w:rsidR="0036554A" w:rsidRPr="0036554A" w14:paraId="3D9C6F80" w14:textId="77777777" w:rsidTr="00581E59">
        <w:tc>
          <w:tcPr>
            <w:tcW w:w="3544" w:type="dxa"/>
          </w:tcPr>
          <w:p w14:paraId="515DA0DF" w14:textId="77777777" w:rsidR="006A31AE" w:rsidRPr="0036554A" w:rsidRDefault="0013341D" w:rsidP="005553FD">
            <w:pPr>
              <w:pStyle w:val="SingleTxtG"/>
              <w:ind w:left="0" w:right="0"/>
              <w:jc w:val="left"/>
              <w:rPr>
                <w:i/>
                <w:lang w:val="es-ES"/>
              </w:rPr>
            </w:pPr>
            <w:r w:rsidRPr="0036554A">
              <w:rPr>
                <w:i/>
                <w:iCs/>
                <w:lang w:val="es-ES_tradnl"/>
              </w:rPr>
              <w:t>Presunta víctima</w:t>
            </w:r>
            <w:r w:rsidR="006A31AE" w:rsidRPr="0036554A">
              <w:rPr>
                <w:i/>
                <w:lang w:val="es-ES"/>
              </w:rPr>
              <w:t>:</w:t>
            </w:r>
          </w:p>
        </w:tc>
        <w:tc>
          <w:tcPr>
            <w:tcW w:w="3260" w:type="dxa"/>
          </w:tcPr>
          <w:p w14:paraId="0FF1782F" w14:textId="77777777" w:rsidR="006A31AE" w:rsidRPr="0036554A" w:rsidRDefault="0097018C" w:rsidP="005553FD">
            <w:pPr>
              <w:pStyle w:val="SingleTxtG"/>
              <w:ind w:left="0" w:right="0"/>
              <w:jc w:val="left"/>
              <w:rPr>
                <w:lang w:val="es-ES"/>
              </w:rPr>
            </w:pPr>
            <w:r>
              <w:rPr>
                <w:lang w:val="es-ES"/>
              </w:rPr>
              <w:t>La autora</w:t>
            </w:r>
          </w:p>
        </w:tc>
      </w:tr>
      <w:tr w:rsidR="0036554A" w:rsidRPr="0036554A" w14:paraId="6A5467DF" w14:textId="77777777" w:rsidTr="00581E59">
        <w:tc>
          <w:tcPr>
            <w:tcW w:w="3544" w:type="dxa"/>
          </w:tcPr>
          <w:p w14:paraId="356E65D4" w14:textId="77777777" w:rsidR="006A31AE" w:rsidRPr="0036554A" w:rsidRDefault="0013341D" w:rsidP="005553FD">
            <w:pPr>
              <w:pStyle w:val="SingleTxtG"/>
              <w:ind w:left="0" w:right="0"/>
              <w:jc w:val="left"/>
              <w:rPr>
                <w:i/>
                <w:lang w:val="es-ES"/>
              </w:rPr>
            </w:pPr>
            <w:r w:rsidRPr="0036554A">
              <w:rPr>
                <w:i/>
                <w:lang w:val="es-ES"/>
              </w:rPr>
              <w:t>Estado parte</w:t>
            </w:r>
            <w:r w:rsidR="006A31AE" w:rsidRPr="0036554A">
              <w:rPr>
                <w:i/>
                <w:lang w:val="es-ES"/>
              </w:rPr>
              <w:t>:</w:t>
            </w:r>
          </w:p>
        </w:tc>
        <w:tc>
          <w:tcPr>
            <w:tcW w:w="3260" w:type="dxa"/>
          </w:tcPr>
          <w:p w14:paraId="6745582B" w14:textId="77777777" w:rsidR="006A31AE" w:rsidRPr="0036554A" w:rsidRDefault="00B1630B" w:rsidP="005553FD">
            <w:pPr>
              <w:pStyle w:val="SingleTxtG"/>
              <w:ind w:left="0" w:right="0"/>
              <w:jc w:val="left"/>
              <w:rPr>
                <w:lang w:val="es-ES"/>
              </w:rPr>
            </w:pPr>
            <w:r w:rsidRPr="0036554A">
              <w:rPr>
                <w:lang w:val="es-ES_tradnl"/>
              </w:rPr>
              <w:t>España</w:t>
            </w:r>
          </w:p>
        </w:tc>
      </w:tr>
      <w:tr w:rsidR="0036554A" w:rsidRPr="00027475" w14:paraId="23A8FF74" w14:textId="77777777" w:rsidTr="00581E59">
        <w:tc>
          <w:tcPr>
            <w:tcW w:w="3544" w:type="dxa"/>
          </w:tcPr>
          <w:p w14:paraId="4321D8B0" w14:textId="77777777" w:rsidR="006A31AE" w:rsidRPr="0036554A" w:rsidRDefault="0013341D" w:rsidP="005553FD">
            <w:pPr>
              <w:pStyle w:val="SingleTxtG"/>
              <w:ind w:left="0" w:right="0"/>
              <w:jc w:val="left"/>
              <w:rPr>
                <w:i/>
                <w:lang w:val="es-ES"/>
              </w:rPr>
            </w:pPr>
            <w:r w:rsidRPr="0036554A">
              <w:rPr>
                <w:i/>
                <w:iCs/>
                <w:lang w:val="es-ES_tradnl"/>
              </w:rPr>
              <w:t>Fecha de la comunicación</w:t>
            </w:r>
            <w:r w:rsidR="006A31AE" w:rsidRPr="0036554A">
              <w:rPr>
                <w:i/>
                <w:lang w:val="es-ES"/>
              </w:rPr>
              <w:t>:</w:t>
            </w:r>
          </w:p>
        </w:tc>
        <w:tc>
          <w:tcPr>
            <w:tcW w:w="3260" w:type="dxa"/>
          </w:tcPr>
          <w:p w14:paraId="0482A963" w14:textId="77777777" w:rsidR="006A31AE" w:rsidRPr="0036554A" w:rsidRDefault="00F85DD4" w:rsidP="00F85DD4">
            <w:pPr>
              <w:spacing w:after="120"/>
              <w:rPr>
                <w:lang w:val="es-ES"/>
              </w:rPr>
            </w:pPr>
            <w:r>
              <w:rPr>
                <w:lang w:val="es-ES"/>
              </w:rPr>
              <w:t>29 de mayo de 2017 (primera comunicación)</w:t>
            </w:r>
          </w:p>
        </w:tc>
      </w:tr>
      <w:tr w:rsidR="0036554A" w:rsidRPr="00027475" w14:paraId="429049D6" w14:textId="77777777" w:rsidTr="00581E59">
        <w:tc>
          <w:tcPr>
            <w:tcW w:w="3544" w:type="dxa"/>
          </w:tcPr>
          <w:p w14:paraId="255CB95E" w14:textId="77777777" w:rsidR="006A31AE" w:rsidRPr="0036554A" w:rsidRDefault="00756097" w:rsidP="005553FD">
            <w:pPr>
              <w:pStyle w:val="SingleTxtG"/>
              <w:ind w:left="0" w:right="0"/>
              <w:jc w:val="left"/>
              <w:rPr>
                <w:i/>
                <w:lang w:val="es-ES"/>
              </w:rPr>
            </w:pPr>
            <w:r w:rsidRPr="0036554A">
              <w:rPr>
                <w:i/>
                <w:lang w:val="es-ES"/>
              </w:rPr>
              <w:t>Referencias</w:t>
            </w:r>
            <w:r w:rsidR="006A31AE" w:rsidRPr="0036554A">
              <w:rPr>
                <w:i/>
                <w:lang w:val="es-ES"/>
              </w:rPr>
              <w:t>:</w:t>
            </w:r>
          </w:p>
        </w:tc>
        <w:tc>
          <w:tcPr>
            <w:tcW w:w="3260" w:type="dxa"/>
          </w:tcPr>
          <w:p w14:paraId="714015C6" w14:textId="2F47212C" w:rsidR="006A31AE" w:rsidRPr="0036554A" w:rsidRDefault="00EC5141" w:rsidP="00C22E27">
            <w:pPr>
              <w:pStyle w:val="SingleTxtG"/>
              <w:ind w:left="0" w:right="0"/>
              <w:rPr>
                <w:lang w:val="es-ES"/>
              </w:rPr>
            </w:pPr>
            <w:r w:rsidRPr="0036554A">
              <w:rPr>
                <w:lang w:val="es-ES"/>
              </w:rPr>
              <w:t xml:space="preserve">Decisión </w:t>
            </w:r>
            <w:r w:rsidRPr="00695280">
              <w:rPr>
                <w:lang w:val="es-ES"/>
              </w:rPr>
              <w:t xml:space="preserve">del Relator Especial </w:t>
            </w:r>
            <w:r w:rsidRPr="0036554A">
              <w:rPr>
                <w:lang w:val="es-ES"/>
              </w:rPr>
              <w:t>con arreglo al artículo 9</w:t>
            </w:r>
            <w:r w:rsidR="00C22E27">
              <w:rPr>
                <w:lang w:val="es-ES"/>
              </w:rPr>
              <w:t>2</w:t>
            </w:r>
            <w:r w:rsidRPr="0036554A">
              <w:rPr>
                <w:lang w:val="es-ES"/>
              </w:rPr>
              <w:t xml:space="preserve"> del reglamento, transmitida al Estado parte el</w:t>
            </w:r>
            <w:r w:rsidR="0036554A">
              <w:rPr>
                <w:lang w:val="es-ES"/>
              </w:rPr>
              <w:t xml:space="preserve"> </w:t>
            </w:r>
            <w:r w:rsidR="00F85DD4">
              <w:rPr>
                <w:lang w:val="es-ES"/>
              </w:rPr>
              <w:t xml:space="preserve">22 de diciembre de 2017 </w:t>
            </w:r>
            <w:r w:rsidRPr="0036554A">
              <w:rPr>
                <w:lang w:val="es-ES"/>
              </w:rPr>
              <w:t>(no se publicó como documento)</w:t>
            </w:r>
          </w:p>
        </w:tc>
      </w:tr>
      <w:tr w:rsidR="0036554A" w:rsidRPr="0036554A" w14:paraId="676FEE3B" w14:textId="77777777" w:rsidTr="00581E59">
        <w:tc>
          <w:tcPr>
            <w:tcW w:w="3544" w:type="dxa"/>
          </w:tcPr>
          <w:p w14:paraId="346D68CA" w14:textId="77777777" w:rsidR="006A31AE" w:rsidRPr="00901DE1" w:rsidRDefault="00512402" w:rsidP="005553FD">
            <w:pPr>
              <w:pStyle w:val="SingleTxtG"/>
              <w:ind w:left="0" w:right="0"/>
              <w:jc w:val="left"/>
              <w:rPr>
                <w:i/>
                <w:lang w:val="es-ES"/>
              </w:rPr>
            </w:pPr>
            <w:r w:rsidRPr="00280BCD">
              <w:rPr>
                <w:i/>
                <w:iCs/>
                <w:lang w:val="es-ES_tradnl"/>
              </w:rPr>
              <w:t>Fecha de adopción</w:t>
            </w:r>
            <w:r w:rsidRPr="007B1BCB">
              <w:rPr>
                <w:i/>
                <w:iCs/>
                <w:lang w:val="es-ES_tradnl"/>
              </w:rPr>
              <w:t xml:space="preserve"> </w:t>
            </w:r>
            <w:r w:rsidRPr="00901DE1">
              <w:rPr>
                <w:i/>
                <w:iCs/>
                <w:lang w:val="es-ES_tradnl"/>
              </w:rPr>
              <w:t>de la decisión</w:t>
            </w:r>
            <w:r w:rsidR="006A31AE" w:rsidRPr="00901DE1">
              <w:rPr>
                <w:i/>
                <w:lang w:val="es-ES"/>
              </w:rPr>
              <w:t>:</w:t>
            </w:r>
          </w:p>
        </w:tc>
        <w:tc>
          <w:tcPr>
            <w:tcW w:w="3260" w:type="dxa"/>
            <w:vAlign w:val="bottom"/>
          </w:tcPr>
          <w:p w14:paraId="6459E340" w14:textId="09335DAE" w:rsidR="006A31AE" w:rsidRPr="00944E7A" w:rsidRDefault="00C22E27" w:rsidP="009A5903">
            <w:pPr>
              <w:pStyle w:val="SingleTxtG"/>
              <w:ind w:left="0" w:right="0"/>
              <w:jc w:val="left"/>
              <w:rPr>
                <w:lang w:val="es-ES"/>
              </w:rPr>
            </w:pPr>
            <w:r>
              <w:rPr>
                <w:lang w:val="es-ES"/>
              </w:rPr>
              <w:t>8 de noviembre</w:t>
            </w:r>
            <w:r w:rsidR="009A5903">
              <w:rPr>
                <w:lang w:val="es-ES"/>
              </w:rPr>
              <w:t xml:space="preserve"> </w:t>
            </w:r>
            <w:r w:rsidR="00944E7A">
              <w:rPr>
                <w:lang w:val="es-ES"/>
              </w:rPr>
              <w:t>de 2019</w:t>
            </w:r>
          </w:p>
        </w:tc>
      </w:tr>
      <w:tr w:rsidR="0036554A" w:rsidRPr="00027475" w14:paraId="36156CAD" w14:textId="77777777" w:rsidTr="00581E59">
        <w:tc>
          <w:tcPr>
            <w:tcW w:w="3544" w:type="dxa"/>
          </w:tcPr>
          <w:p w14:paraId="4C13416C" w14:textId="77777777" w:rsidR="006A31AE" w:rsidRPr="0036554A" w:rsidRDefault="00512402" w:rsidP="005553FD">
            <w:pPr>
              <w:pStyle w:val="SingleTxtG"/>
              <w:ind w:left="0" w:right="0"/>
              <w:jc w:val="left"/>
              <w:rPr>
                <w:i/>
                <w:lang w:val="es-ES"/>
              </w:rPr>
            </w:pPr>
            <w:r w:rsidRPr="0036554A">
              <w:rPr>
                <w:i/>
                <w:iCs/>
                <w:lang w:val="es-ES"/>
              </w:rPr>
              <w:t>Asunto</w:t>
            </w:r>
            <w:r w:rsidR="006A31AE" w:rsidRPr="0036554A">
              <w:rPr>
                <w:i/>
                <w:iCs/>
                <w:lang w:val="es-ES"/>
              </w:rPr>
              <w:t>:</w:t>
            </w:r>
          </w:p>
        </w:tc>
        <w:tc>
          <w:tcPr>
            <w:tcW w:w="3260" w:type="dxa"/>
          </w:tcPr>
          <w:p w14:paraId="19C1ACF8" w14:textId="77777777" w:rsidR="006A31AE" w:rsidRPr="0036554A" w:rsidRDefault="00F85DD4" w:rsidP="00F85DD4">
            <w:pPr>
              <w:spacing w:after="120"/>
              <w:jc w:val="both"/>
              <w:rPr>
                <w:lang w:val="es-ES"/>
              </w:rPr>
            </w:pPr>
            <w:r>
              <w:rPr>
                <w:lang w:val="es-ES"/>
              </w:rPr>
              <w:t>Utilización de símbolos religiosos en los tribunales</w:t>
            </w:r>
          </w:p>
        </w:tc>
      </w:tr>
      <w:tr w:rsidR="0036554A" w:rsidRPr="00027475" w14:paraId="06EBEF29" w14:textId="77777777" w:rsidTr="00581E59">
        <w:tc>
          <w:tcPr>
            <w:tcW w:w="3544" w:type="dxa"/>
          </w:tcPr>
          <w:p w14:paraId="6EF706BB" w14:textId="77777777" w:rsidR="006A31AE" w:rsidRPr="0036554A" w:rsidRDefault="00512402" w:rsidP="005553FD">
            <w:pPr>
              <w:pStyle w:val="SingleTxtG"/>
              <w:ind w:left="0" w:right="0"/>
              <w:jc w:val="left"/>
              <w:rPr>
                <w:i/>
                <w:iCs/>
                <w:lang w:val="es-ES"/>
              </w:rPr>
            </w:pPr>
            <w:r w:rsidRPr="0036554A">
              <w:rPr>
                <w:i/>
                <w:iCs/>
                <w:lang w:val="es-ES"/>
              </w:rPr>
              <w:t>Cuestiones de procedimiento</w:t>
            </w:r>
            <w:r w:rsidR="006A31AE" w:rsidRPr="0036554A">
              <w:rPr>
                <w:i/>
                <w:lang w:val="es-ES"/>
              </w:rPr>
              <w:t>:</w:t>
            </w:r>
          </w:p>
        </w:tc>
        <w:tc>
          <w:tcPr>
            <w:tcW w:w="3260" w:type="dxa"/>
          </w:tcPr>
          <w:p w14:paraId="15CA24A1" w14:textId="77777777" w:rsidR="006A31AE" w:rsidRPr="004B3C66" w:rsidRDefault="00981689" w:rsidP="00944E7A">
            <w:pPr>
              <w:pStyle w:val="SingleTxtG"/>
              <w:ind w:left="0" w:right="0"/>
              <w:rPr>
                <w:lang w:val="es-ES_tradnl"/>
              </w:rPr>
            </w:pPr>
            <w:r w:rsidRPr="004B3C66">
              <w:rPr>
                <w:lang w:val="es-ES_tradnl"/>
              </w:rPr>
              <w:t>A</w:t>
            </w:r>
            <w:r w:rsidR="00DB26F4" w:rsidRPr="004B3C66">
              <w:rPr>
                <w:lang w:val="es-ES_tradnl"/>
              </w:rPr>
              <w:t>gotamiento de los recursos internos, a</w:t>
            </w:r>
            <w:r w:rsidRPr="004B3C66">
              <w:rPr>
                <w:lang w:val="es-ES_tradnl"/>
              </w:rPr>
              <w:t xml:space="preserve">sunto ya sometido a otro procedimiento de arreglo internacional </w:t>
            </w:r>
          </w:p>
        </w:tc>
      </w:tr>
      <w:tr w:rsidR="0036554A" w:rsidRPr="00027475" w14:paraId="4734CEE4" w14:textId="77777777" w:rsidTr="00581E59">
        <w:tc>
          <w:tcPr>
            <w:tcW w:w="3544" w:type="dxa"/>
          </w:tcPr>
          <w:p w14:paraId="2442B3FD" w14:textId="77777777" w:rsidR="006A31AE" w:rsidRPr="0036554A" w:rsidRDefault="00512402" w:rsidP="005553FD">
            <w:pPr>
              <w:pStyle w:val="SingleTxtG"/>
              <w:keepNext/>
              <w:ind w:left="0" w:right="0"/>
              <w:jc w:val="left"/>
              <w:rPr>
                <w:i/>
                <w:iCs/>
                <w:lang w:val="es-ES"/>
              </w:rPr>
            </w:pPr>
            <w:r w:rsidRPr="0036554A">
              <w:rPr>
                <w:i/>
                <w:iCs/>
                <w:lang w:val="es-ES"/>
              </w:rPr>
              <w:t>Cuestiones de fondo</w:t>
            </w:r>
            <w:r w:rsidR="006A31AE" w:rsidRPr="0036554A">
              <w:rPr>
                <w:i/>
                <w:iCs/>
                <w:lang w:val="es-ES"/>
              </w:rPr>
              <w:t>:</w:t>
            </w:r>
          </w:p>
        </w:tc>
        <w:tc>
          <w:tcPr>
            <w:tcW w:w="3260" w:type="dxa"/>
          </w:tcPr>
          <w:p w14:paraId="2DFFBE50" w14:textId="77777777" w:rsidR="006A31AE" w:rsidRPr="004B3C66" w:rsidRDefault="00F85DD4" w:rsidP="00F85DD4">
            <w:pPr>
              <w:keepNext/>
              <w:spacing w:after="120"/>
              <w:jc w:val="both"/>
              <w:rPr>
                <w:lang w:val="es-ES_tradnl"/>
              </w:rPr>
            </w:pPr>
            <w:r w:rsidRPr="004B3C66">
              <w:rPr>
                <w:lang w:val="es-ES_tradnl"/>
              </w:rPr>
              <w:t>Libertad de religión, vida privada</w:t>
            </w:r>
          </w:p>
        </w:tc>
      </w:tr>
      <w:tr w:rsidR="0036554A" w:rsidRPr="0036554A" w14:paraId="04706E33" w14:textId="77777777" w:rsidTr="00581E59">
        <w:tc>
          <w:tcPr>
            <w:tcW w:w="3544" w:type="dxa"/>
          </w:tcPr>
          <w:p w14:paraId="4FF1D3C6" w14:textId="77777777" w:rsidR="006A31AE" w:rsidRPr="0036554A" w:rsidRDefault="00512402" w:rsidP="005553FD">
            <w:pPr>
              <w:pStyle w:val="SingleTxtG"/>
              <w:ind w:left="0" w:right="0"/>
              <w:jc w:val="left"/>
              <w:rPr>
                <w:i/>
                <w:iCs/>
                <w:lang w:val="es-ES"/>
              </w:rPr>
            </w:pPr>
            <w:r w:rsidRPr="0036554A">
              <w:rPr>
                <w:i/>
                <w:iCs/>
                <w:lang w:val="es-ES_tradnl"/>
              </w:rPr>
              <w:t>Artículos del Pacto</w:t>
            </w:r>
            <w:r w:rsidR="006A31AE" w:rsidRPr="0036554A">
              <w:rPr>
                <w:i/>
                <w:lang w:val="es-ES"/>
              </w:rPr>
              <w:t>:</w:t>
            </w:r>
          </w:p>
        </w:tc>
        <w:tc>
          <w:tcPr>
            <w:tcW w:w="3260" w:type="dxa"/>
          </w:tcPr>
          <w:p w14:paraId="0B562FB2" w14:textId="09EE95AD" w:rsidR="006A31AE" w:rsidRPr="004B3C66" w:rsidRDefault="00F85DD4" w:rsidP="004C1CEE">
            <w:pPr>
              <w:pStyle w:val="SingleTxtG"/>
              <w:ind w:left="0" w:right="0"/>
              <w:jc w:val="left"/>
              <w:rPr>
                <w:lang w:val="es-ES"/>
              </w:rPr>
            </w:pPr>
            <w:r w:rsidRPr="004B3C66">
              <w:rPr>
                <w:lang w:val="es-ES"/>
              </w:rPr>
              <w:t>14</w:t>
            </w:r>
            <w:r w:rsidR="005B049F">
              <w:rPr>
                <w:lang w:val="es-ES"/>
              </w:rPr>
              <w:t>, párr.</w:t>
            </w:r>
            <w:r w:rsidRPr="004B3C66">
              <w:rPr>
                <w:lang w:val="es-ES"/>
              </w:rPr>
              <w:t xml:space="preserve"> 1, 17 y 18</w:t>
            </w:r>
          </w:p>
        </w:tc>
      </w:tr>
      <w:tr w:rsidR="0036554A" w:rsidRPr="008E2D29" w14:paraId="0352EDED" w14:textId="77777777" w:rsidTr="00581E59">
        <w:tc>
          <w:tcPr>
            <w:tcW w:w="3544" w:type="dxa"/>
          </w:tcPr>
          <w:p w14:paraId="68404649" w14:textId="77777777" w:rsidR="006A31AE" w:rsidRPr="0036554A" w:rsidRDefault="00F907E8" w:rsidP="005553FD">
            <w:pPr>
              <w:pStyle w:val="SingleTxtG"/>
              <w:ind w:left="0" w:right="0"/>
              <w:jc w:val="left"/>
              <w:rPr>
                <w:i/>
                <w:iCs/>
                <w:lang w:val="es-ES"/>
              </w:rPr>
            </w:pPr>
            <w:r w:rsidRPr="0036554A">
              <w:rPr>
                <w:i/>
                <w:iCs/>
                <w:lang w:val="es-ES_tradnl"/>
              </w:rPr>
              <w:t>Artículos del Protocolo Facultativo</w:t>
            </w:r>
            <w:r w:rsidR="006A31AE" w:rsidRPr="0036554A">
              <w:rPr>
                <w:i/>
                <w:iCs/>
                <w:lang w:val="es-ES"/>
              </w:rPr>
              <w:t>:</w:t>
            </w:r>
          </w:p>
        </w:tc>
        <w:tc>
          <w:tcPr>
            <w:tcW w:w="3260" w:type="dxa"/>
          </w:tcPr>
          <w:p w14:paraId="04D53B5C" w14:textId="7A793E94" w:rsidR="006A31AE" w:rsidRPr="004B3C66" w:rsidRDefault="004B3C66" w:rsidP="008F2B29">
            <w:pPr>
              <w:pStyle w:val="SingleTxtG"/>
              <w:ind w:left="0" w:right="0"/>
              <w:jc w:val="left"/>
              <w:rPr>
                <w:lang w:val="es-ES"/>
              </w:rPr>
            </w:pPr>
            <w:r w:rsidRPr="004B3C66">
              <w:rPr>
                <w:lang w:val="es-ES"/>
              </w:rPr>
              <w:t>3 y 5, párr</w:t>
            </w:r>
            <w:r w:rsidR="005B049F">
              <w:rPr>
                <w:lang w:val="es-ES"/>
              </w:rPr>
              <w:t>.</w:t>
            </w:r>
            <w:r w:rsidRPr="004B3C66">
              <w:rPr>
                <w:lang w:val="es-ES"/>
              </w:rPr>
              <w:t xml:space="preserve"> 2</w:t>
            </w:r>
            <w:r w:rsidR="008F2B29" w:rsidRPr="004B3C66">
              <w:rPr>
                <w:lang w:val="es-ES"/>
              </w:rPr>
              <w:t xml:space="preserve"> b)</w:t>
            </w:r>
          </w:p>
        </w:tc>
      </w:tr>
    </w:tbl>
    <w:p w14:paraId="61085A26" w14:textId="77777777" w:rsidR="00FE3737" w:rsidRDefault="00FE3737" w:rsidP="00130920">
      <w:pPr>
        <w:pStyle w:val="SingleTxtG"/>
        <w:keepNext/>
        <w:keepLines/>
        <w:rPr>
          <w:lang w:val="es-ES_tradnl"/>
        </w:rPr>
      </w:pPr>
    </w:p>
    <w:p w14:paraId="346D331E" w14:textId="77777777" w:rsidR="00FE3737" w:rsidRDefault="00FE3737">
      <w:pPr>
        <w:suppressAutoHyphens w:val="0"/>
        <w:spacing w:after="200" w:line="276" w:lineRule="auto"/>
        <w:rPr>
          <w:rFonts w:eastAsia="SimSun"/>
          <w:lang w:val="es-ES_tradnl" w:eastAsia="zh-CN"/>
        </w:rPr>
      </w:pPr>
      <w:r>
        <w:rPr>
          <w:lang w:val="es-ES_tradnl"/>
        </w:rPr>
        <w:br w:type="page"/>
      </w:r>
    </w:p>
    <w:p w14:paraId="4A1FBD82" w14:textId="160094BA" w:rsidR="00601A2C" w:rsidRPr="008E2D29" w:rsidRDefault="008E2D29" w:rsidP="00FE460A">
      <w:pPr>
        <w:pStyle w:val="SingleTxtG"/>
        <w:rPr>
          <w:lang w:val="es-ES"/>
        </w:rPr>
      </w:pPr>
      <w:r w:rsidRPr="008E2D29">
        <w:rPr>
          <w:lang w:val="es-ES"/>
        </w:rPr>
        <w:lastRenderedPageBreak/>
        <w:t>1.</w:t>
      </w:r>
      <w:r w:rsidRPr="008E2D29">
        <w:rPr>
          <w:lang w:val="es-ES"/>
        </w:rPr>
        <w:tab/>
        <w:t>La autora es Da Z B E</w:t>
      </w:r>
      <w:bookmarkStart w:id="0" w:name="_GoBack"/>
      <w:bookmarkEnd w:id="0"/>
      <w:r w:rsidRPr="008E2D29">
        <w:rPr>
          <w:lang w:val="es-ES"/>
        </w:rPr>
        <w:t xml:space="preserve">, ciudadana española y abogada en ejercicio. Denuncia violación de sus derechos contenidos en los </w:t>
      </w:r>
      <w:r w:rsidRPr="00FD17B2">
        <w:rPr>
          <w:lang w:val="es-ES"/>
        </w:rPr>
        <w:t>artículos</w:t>
      </w:r>
      <w:r w:rsidRPr="008E2D29">
        <w:rPr>
          <w:lang w:val="es-ES"/>
        </w:rPr>
        <w:t xml:space="preserve"> 14</w:t>
      </w:r>
      <w:r w:rsidR="00A47139">
        <w:rPr>
          <w:lang w:val="es-ES"/>
        </w:rPr>
        <w:t>(</w:t>
      </w:r>
      <w:r w:rsidRPr="008E2D29">
        <w:rPr>
          <w:lang w:val="es-ES"/>
        </w:rPr>
        <w:t>1</w:t>
      </w:r>
      <w:r w:rsidR="00A47139">
        <w:rPr>
          <w:lang w:val="es-ES"/>
        </w:rPr>
        <w:t>)</w:t>
      </w:r>
      <w:r w:rsidRPr="008E2D29">
        <w:rPr>
          <w:lang w:val="es-ES"/>
        </w:rPr>
        <w:t xml:space="preserve">, 17 y 18 del Pacto Internacional de Derechos Civiles y Políticos (el </w:t>
      </w:r>
      <w:r w:rsidRPr="00004526">
        <w:rPr>
          <w:lang w:val="es-ES"/>
        </w:rPr>
        <w:t>Pacto</w:t>
      </w:r>
      <w:r w:rsidRPr="008E2D29">
        <w:rPr>
          <w:lang w:val="es-ES"/>
        </w:rPr>
        <w:t>) por parte de España. El Reino de España se adhirió al Protocolo Facultativo del Pacto el 25 de enero de 1985, entrando en vigor el 25 de abril de 1985. Está representada por</w:t>
      </w:r>
      <w:r w:rsidR="00F85DD4">
        <w:rPr>
          <w:lang w:val="es-ES"/>
        </w:rPr>
        <w:t xml:space="preserve"> abogado, </w:t>
      </w:r>
      <w:proofErr w:type="spellStart"/>
      <w:r w:rsidR="00F85DD4">
        <w:rPr>
          <w:lang w:val="es-ES"/>
        </w:rPr>
        <w:t>Jose</w:t>
      </w:r>
      <w:proofErr w:type="spellEnd"/>
      <w:r w:rsidR="00F85DD4">
        <w:rPr>
          <w:lang w:val="es-ES"/>
        </w:rPr>
        <w:t>-Luis Mazón Costa</w:t>
      </w:r>
      <w:r w:rsidR="006C1080" w:rsidRPr="00F45532">
        <w:rPr>
          <w:lang w:val="es-ES_tradnl"/>
        </w:rPr>
        <w:t>.</w:t>
      </w:r>
    </w:p>
    <w:p w14:paraId="3EB61392" w14:textId="77777777" w:rsidR="002218BD" w:rsidRPr="00960AAC" w:rsidRDefault="00860C0B" w:rsidP="00860C0B">
      <w:pPr>
        <w:pStyle w:val="H23G"/>
        <w:rPr>
          <w:rFonts w:eastAsia="Calibri"/>
          <w:lang w:val="es-ES"/>
        </w:rPr>
      </w:pPr>
      <w:r>
        <w:rPr>
          <w:lang w:val="es-ES"/>
        </w:rPr>
        <w:tab/>
      </w:r>
      <w:r>
        <w:rPr>
          <w:lang w:val="es-ES"/>
        </w:rPr>
        <w:tab/>
      </w:r>
      <w:r w:rsidR="00665E03" w:rsidRPr="00F45532">
        <w:rPr>
          <w:lang w:val="es-ES"/>
        </w:rPr>
        <w:t xml:space="preserve">Los hechos expuestos por </w:t>
      </w:r>
      <w:r w:rsidR="00960AAC" w:rsidRPr="00FD17B2">
        <w:rPr>
          <w:lang w:val="es-ES"/>
        </w:rPr>
        <w:t>la</w:t>
      </w:r>
      <w:r w:rsidR="00960AAC">
        <w:rPr>
          <w:lang w:val="es-ES"/>
        </w:rPr>
        <w:t xml:space="preserve"> autora</w:t>
      </w:r>
    </w:p>
    <w:p w14:paraId="6A199EBB" w14:textId="77777777" w:rsidR="008E2D29" w:rsidRPr="008E2D29" w:rsidRDefault="00F877E9" w:rsidP="00860C0B">
      <w:pPr>
        <w:pStyle w:val="SingleTxtG"/>
        <w:rPr>
          <w:lang w:val="es-ES"/>
        </w:rPr>
      </w:pPr>
      <w:r>
        <w:rPr>
          <w:lang w:val="es-ES"/>
        </w:rPr>
        <w:t>2.1</w:t>
      </w:r>
      <w:r>
        <w:rPr>
          <w:lang w:val="es-ES"/>
        </w:rPr>
        <w:tab/>
      </w:r>
      <w:r w:rsidR="008E2D29" w:rsidRPr="008E2D29">
        <w:rPr>
          <w:lang w:val="es-ES"/>
        </w:rPr>
        <w:t xml:space="preserve">La autora se encontraba el 22 de octubre de 2009 en un juicio asistiendo a uno de los abogados defensores en la sala de lo penal de la Audiencia Nacional. En un momento determinado el juez que presidía le ordenó abandonar el estrado de abogados si no retiraba el </w:t>
      </w:r>
      <w:proofErr w:type="spellStart"/>
      <w:r w:rsidR="008E2D29" w:rsidRPr="008E2D29">
        <w:rPr>
          <w:lang w:val="es-ES"/>
        </w:rPr>
        <w:t>hyjab</w:t>
      </w:r>
      <w:proofErr w:type="spellEnd"/>
      <w:r w:rsidR="008E2D29" w:rsidRPr="008E2D29">
        <w:rPr>
          <w:lang w:val="es-ES"/>
        </w:rPr>
        <w:t xml:space="preserve"> que llevaba puesto. La autora abandonó el estrado y continuó siguiendo el juicio desde los bancos destinados al público.</w:t>
      </w:r>
    </w:p>
    <w:p w14:paraId="73EB4BD7" w14:textId="77777777" w:rsidR="008E2D29" w:rsidRPr="008E2D29" w:rsidRDefault="00F877E9" w:rsidP="00860C0B">
      <w:pPr>
        <w:pStyle w:val="SingleTxtG"/>
        <w:rPr>
          <w:lang w:val="es-ES"/>
        </w:rPr>
      </w:pPr>
      <w:r>
        <w:rPr>
          <w:lang w:val="es-ES"/>
        </w:rPr>
        <w:t>2.2</w:t>
      </w:r>
      <w:r>
        <w:rPr>
          <w:lang w:val="es-ES"/>
        </w:rPr>
        <w:tab/>
      </w:r>
      <w:r w:rsidR="008E2D29" w:rsidRPr="008E2D29">
        <w:rPr>
          <w:lang w:val="es-ES"/>
        </w:rPr>
        <w:t xml:space="preserve">El 10 de noviembre de 2009 una asociación denunció los hechos ante el Servicio de Inspección del Consejo General del Poder Judicial (CGPJ), por considerar que debían </w:t>
      </w:r>
      <w:r w:rsidR="00826EC7">
        <w:rPr>
          <w:lang w:val="es-ES"/>
        </w:rPr>
        <w:t>dar lugar a una</w:t>
      </w:r>
      <w:r w:rsidR="008E2D29" w:rsidRPr="008E2D29">
        <w:rPr>
          <w:lang w:val="es-ES"/>
        </w:rPr>
        <w:t xml:space="preserve"> infracción disciplinaria</w:t>
      </w:r>
      <w:r w:rsidR="00832ABC">
        <w:rPr>
          <w:lang w:val="es-ES"/>
        </w:rPr>
        <w:t xml:space="preserve"> contra el juez</w:t>
      </w:r>
      <w:r w:rsidR="008E2D29" w:rsidRPr="008E2D29">
        <w:rPr>
          <w:lang w:val="es-ES"/>
        </w:rPr>
        <w:t xml:space="preserve">. La Comisión Disciplinaria abrió Información Previa n° 1647/09 y, finalmente, archivó </w:t>
      </w:r>
      <w:r w:rsidR="008E2D29">
        <w:rPr>
          <w:lang w:val="es-ES"/>
        </w:rPr>
        <w:t>el caso el 8 de febrero de 2010</w:t>
      </w:r>
      <w:r w:rsidR="008E2D29">
        <w:rPr>
          <w:rStyle w:val="FootnoteReference"/>
          <w:lang w:val="es-ES"/>
        </w:rPr>
        <w:footnoteReference w:id="3"/>
      </w:r>
      <w:r w:rsidR="008E2D29" w:rsidRPr="008E2D29">
        <w:rPr>
          <w:lang w:val="es-ES"/>
        </w:rPr>
        <w:t>.</w:t>
      </w:r>
    </w:p>
    <w:p w14:paraId="24C96421" w14:textId="20D9DB9C" w:rsidR="008E2D29" w:rsidRPr="008E2D29" w:rsidRDefault="00F877E9" w:rsidP="00860C0B">
      <w:pPr>
        <w:pStyle w:val="SingleTxtG"/>
        <w:rPr>
          <w:lang w:val="es-ES"/>
        </w:rPr>
      </w:pPr>
      <w:r>
        <w:rPr>
          <w:lang w:val="es-ES"/>
        </w:rPr>
        <w:t>2.3</w:t>
      </w:r>
      <w:r>
        <w:rPr>
          <w:lang w:val="es-ES"/>
        </w:rPr>
        <w:tab/>
      </w:r>
      <w:r w:rsidR="008E2D29" w:rsidRPr="008E2D29">
        <w:rPr>
          <w:lang w:val="es-ES"/>
        </w:rPr>
        <w:t>Paralelamente, la autora presentó un recurso de alzada a la Sala de Gobierno de la Audiencia Nacional el 11 de noviembre de 2009, siendo completada el 20 de noviembre de 2009 con información adicional. La autora planteaba que la decisión verbal del juez constituía una violación de sus derechos fundamentales y pedía se declarara su nulidad. El 14 de diciembre de 2009, esta sala acordó su remisión al CGPJ por considerar que éste era el órgano competente. El Consejo no adoptó ninguna decisión al respecto, no examinó la cuestión de la violación de los derechos fundamentales y, simplemente, adjuntó copia del recurso al expediente sobre la Información Previa n° 1647/09.</w:t>
      </w:r>
    </w:p>
    <w:p w14:paraId="5D13048D" w14:textId="60CAAFA9" w:rsidR="008E2D29" w:rsidRPr="008E2D29" w:rsidRDefault="00F877E9" w:rsidP="00860C0B">
      <w:pPr>
        <w:pStyle w:val="SingleTxtG"/>
        <w:rPr>
          <w:lang w:val="es-ES"/>
        </w:rPr>
      </w:pPr>
      <w:r>
        <w:rPr>
          <w:lang w:val="es-ES"/>
        </w:rPr>
        <w:t>2.4</w:t>
      </w:r>
      <w:r>
        <w:rPr>
          <w:lang w:val="es-ES"/>
        </w:rPr>
        <w:tab/>
      </w:r>
      <w:r w:rsidR="008E2D29" w:rsidRPr="008E2D29">
        <w:rPr>
          <w:lang w:val="es-ES"/>
        </w:rPr>
        <w:t xml:space="preserve">El 21 de diciembre de 2009, la autora interpuso ante el Tribunal Supremo un recurso contencioso administrativo especial para la tutela de los derechos fundamentales frente a la desestimación presunta por el CGPJ de las cuestiones </w:t>
      </w:r>
      <w:r w:rsidR="008E2D29" w:rsidRPr="00762805">
        <w:rPr>
          <w:lang w:val="es-ES"/>
        </w:rPr>
        <w:t>planteadas en el recurso de alzada. El Tribunal Supremo desestimó el recurso el 2 de noviembre de 2010. En su sentencia</w:t>
      </w:r>
      <w:r w:rsidR="00826EC7">
        <w:rPr>
          <w:lang w:val="es-ES"/>
        </w:rPr>
        <w:t>,</w:t>
      </w:r>
      <w:r w:rsidR="008E2D29" w:rsidRPr="00762805">
        <w:rPr>
          <w:lang w:val="es-ES"/>
        </w:rPr>
        <w:t xml:space="preserve"> el Tribunal Supremo estimó que la Audiencia Nacional era el órgano competente para conocer en alzada de las cuestiones planteadas por la autora relativas a la impugnación de la decisión oral del juez;  que el CGPJ no tenía competencia para revisar la decisión del juez, la cual tenía naturaleza jurisdiccional y no </w:t>
      </w:r>
      <w:r w:rsidR="008E2D29" w:rsidRPr="00FD17B2">
        <w:rPr>
          <w:lang w:val="es-ES"/>
        </w:rPr>
        <w:t>gubernativa</w:t>
      </w:r>
      <w:r w:rsidR="008E2D29" w:rsidRPr="00762805">
        <w:rPr>
          <w:lang w:val="es-ES"/>
        </w:rPr>
        <w:t>; que, por consiguiente, el CGPJ debió haber declarado expresamente la inadmisión de la remisión del caso acordada por la Audiencia Nacional; y que, si bien esta remisión no fue acertada</w:t>
      </w:r>
      <w:r w:rsidR="00826EC7">
        <w:rPr>
          <w:lang w:val="es-ES"/>
        </w:rPr>
        <w:t>,</w:t>
      </w:r>
      <w:r w:rsidR="008E2D29" w:rsidRPr="00762805">
        <w:rPr>
          <w:lang w:val="es-ES"/>
        </w:rPr>
        <w:t xml:space="preserve"> la</w:t>
      </w:r>
      <w:r w:rsidR="008E2D29" w:rsidRPr="008E2D29">
        <w:rPr>
          <w:lang w:val="es-ES"/>
        </w:rPr>
        <w:t xml:space="preserve"> misma no fue cuestionada por la autora. El Tribunal concluyó desestimar el recurso sin entrar en las cuestiones de fondo, afirmando que no cabía reprochar al CGPJ no haber hecho algo que legalmente no podía hacer.</w:t>
      </w:r>
      <w:r w:rsidR="00826EC7">
        <w:rPr>
          <w:lang w:val="es-ES"/>
        </w:rPr>
        <w:t xml:space="preserve"> </w:t>
      </w:r>
      <w:r w:rsidR="008E2D29" w:rsidRPr="008E2D29">
        <w:rPr>
          <w:lang w:val="es-ES"/>
        </w:rPr>
        <w:t xml:space="preserve">Esta sentencia fue recurrida ante el propio Tribunal Supremo, y este recurso desestimado el 31 de enero de 2011 imponiendo las costas de este último recurso a la autora. </w:t>
      </w:r>
    </w:p>
    <w:p w14:paraId="3DA288C3" w14:textId="77777777" w:rsidR="008E2D29" w:rsidRPr="008E2D29" w:rsidRDefault="00CC1DA3" w:rsidP="00860C0B">
      <w:pPr>
        <w:pStyle w:val="SingleTxtG"/>
        <w:rPr>
          <w:lang w:val="es-ES"/>
        </w:rPr>
      </w:pPr>
      <w:r>
        <w:rPr>
          <w:lang w:val="es-ES"/>
        </w:rPr>
        <w:t>2.5</w:t>
      </w:r>
      <w:r>
        <w:rPr>
          <w:lang w:val="es-ES"/>
        </w:rPr>
        <w:tab/>
      </w:r>
      <w:r w:rsidR="008E2D29" w:rsidRPr="008E2D29">
        <w:rPr>
          <w:lang w:val="es-ES"/>
        </w:rPr>
        <w:t xml:space="preserve">Tras la sentencia firme del Tribunal Supremo, la autora presentó un recurso de amparo el 8 de marzo de 2011 ante el Tribunal Constitucional por violación de sus derechos fundamentales protegidos por la Constitución </w:t>
      </w:r>
      <w:r w:rsidR="008E2D29" w:rsidRPr="00FD17B2">
        <w:rPr>
          <w:lang w:val="es-ES"/>
        </w:rPr>
        <w:t>Española</w:t>
      </w:r>
      <w:r w:rsidR="008E2D29" w:rsidRPr="008E2D29">
        <w:rPr>
          <w:lang w:val="es-ES"/>
        </w:rPr>
        <w:t xml:space="preserve">, en particular: libertad religiosa, no discriminación y derecho a la vida privada. Este recurso no fue admitido a trámite en decisión notificada el 17 de diciembre de 2012 por considerarse manifiesta inexistencia de la violación de un derecho fundamental, necesaria para ejercer el recurso de amparo. </w:t>
      </w:r>
    </w:p>
    <w:p w14:paraId="1F657E21" w14:textId="77777777" w:rsidR="008E2D29" w:rsidRPr="008E2D29" w:rsidRDefault="00CC1DA3" w:rsidP="00860C0B">
      <w:pPr>
        <w:pStyle w:val="SingleTxtG"/>
        <w:rPr>
          <w:lang w:val="es-ES"/>
        </w:rPr>
      </w:pPr>
      <w:r>
        <w:rPr>
          <w:lang w:val="es-ES"/>
        </w:rPr>
        <w:t>2.6</w:t>
      </w:r>
      <w:r>
        <w:rPr>
          <w:lang w:val="es-ES"/>
        </w:rPr>
        <w:tab/>
      </w:r>
      <w:r w:rsidR="008E2D29" w:rsidRPr="008E2D29">
        <w:rPr>
          <w:lang w:val="es-ES"/>
        </w:rPr>
        <w:t>Paralelamente, la autora presentó un escrito ante la misma sala de la Audiencia Nacional, el 16 de marzo de 2011, solicitando que, ante los razonamientos de la sentencia del Tribunal Supremo, se dictara resolución motivada de su decisión del 14 de diciembre de 2009. En decisión de</w:t>
      </w:r>
      <w:r w:rsidR="00826EC7">
        <w:rPr>
          <w:lang w:val="es-ES"/>
        </w:rPr>
        <w:t>l</w:t>
      </w:r>
      <w:r w:rsidR="008E2D29" w:rsidRPr="008E2D29">
        <w:rPr>
          <w:lang w:val="es-ES"/>
        </w:rPr>
        <w:t xml:space="preserve"> 18 de julio de 2011 la Audiencia Nacional se declaró competente para examinar los hechos. Sin embargo, estimó que el recurso de alzada original, presentado el 11 de noviembre de 2009, se había presentado fuera de plazo</w:t>
      </w:r>
      <w:r w:rsidR="00826EC7">
        <w:rPr>
          <w:lang w:val="es-ES"/>
        </w:rPr>
        <w:t>. En este sentido, resaltó que</w:t>
      </w:r>
      <w:r w:rsidR="008E2D29" w:rsidRPr="008E2D29">
        <w:rPr>
          <w:lang w:val="es-ES"/>
        </w:rPr>
        <w:t xml:space="preserve"> se trataba de un </w:t>
      </w:r>
      <w:r w:rsidR="008E2D29" w:rsidRPr="00FD17B2">
        <w:rPr>
          <w:lang w:val="es-ES"/>
        </w:rPr>
        <w:t>recurso</w:t>
      </w:r>
      <w:r w:rsidR="008E2D29" w:rsidRPr="008E2D29">
        <w:rPr>
          <w:lang w:val="es-ES"/>
        </w:rPr>
        <w:t xml:space="preserve"> de alzada contra un</w:t>
      </w:r>
      <w:r w:rsidR="00A47139">
        <w:rPr>
          <w:lang w:val="es-ES"/>
        </w:rPr>
        <w:t>a</w:t>
      </w:r>
      <w:r w:rsidR="008E2D29" w:rsidRPr="008E2D29">
        <w:rPr>
          <w:lang w:val="es-ES"/>
        </w:rPr>
        <w:t xml:space="preserve"> corrección especial adoptada por el juez como policía de los estrados que debe presentarse dentro de cinco días a partir de los hechos (finales de octubre de 2009), según el artículo 556 de la Ley Orgánica 6/1985 del Poder Judicial. </w:t>
      </w:r>
    </w:p>
    <w:p w14:paraId="13A470F0" w14:textId="7E440FF5" w:rsidR="002A24C4" w:rsidRPr="008E2D29" w:rsidRDefault="00CC1DA3" w:rsidP="00860C0B">
      <w:pPr>
        <w:pStyle w:val="SingleTxtG"/>
        <w:rPr>
          <w:lang w:val="es-ES"/>
        </w:rPr>
      </w:pPr>
      <w:r>
        <w:rPr>
          <w:lang w:val="es-ES"/>
        </w:rPr>
        <w:lastRenderedPageBreak/>
        <w:t>2.7</w:t>
      </w:r>
      <w:r>
        <w:rPr>
          <w:lang w:val="es-ES"/>
        </w:rPr>
        <w:tab/>
      </w:r>
      <w:r w:rsidR="008E2D29" w:rsidRPr="008E2D29">
        <w:rPr>
          <w:lang w:val="es-ES"/>
        </w:rPr>
        <w:t>El caso fue presentado al Tribunal Europeo de Derechos Humanos (TEDH) el 12 de marzo de 2013 alegando violación de los derechos al debido proceso, a la libertad religiosa, al respeto de la vida privada y familiar y por discriminación. El 26 de abril de 2016, el Tribunal declaró el caso inadmisible</w:t>
      </w:r>
      <w:r w:rsidR="005A2A77">
        <w:rPr>
          <w:rStyle w:val="FootnoteReference"/>
          <w:lang w:val="es-ES"/>
        </w:rPr>
        <w:footnoteReference w:id="4"/>
      </w:r>
      <w:r w:rsidR="008E2D29" w:rsidRPr="008E2D29">
        <w:rPr>
          <w:lang w:val="es-ES"/>
        </w:rPr>
        <w:t xml:space="preserve">. </w:t>
      </w:r>
      <w:r w:rsidR="00826EC7">
        <w:rPr>
          <w:lang w:val="es-ES"/>
        </w:rPr>
        <w:t>C</w:t>
      </w:r>
      <w:r w:rsidR="008E2D29" w:rsidRPr="008E2D29">
        <w:rPr>
          <w:lang w:val="es-ES"/>
        </w:rPr>
        <w:t xml:space="preserve">onsideró que correspondía a los tribunales internos interpretar la legislación en materia de quién tenía competencia para examinar los hechos denunciados y cuáles eran </w:t>
      </w:r>
      <w:r w:rsidR="008E2D29" w:rsidRPr="00FD17B2">
        <w:rPr>
          <w:lang w:val="es-ES"/>
        </w:rPr>
        <w:t>los</w:t>
      </w:r>
      <w:r w:rsidR="008E2D29" w:rsidRPr="008E2D29">
        <w:rPr>
          <w:lang w:val="es-ES"/>
        </w:rPr>
        <w:t xml:space="preserve"> plazos para presentar recursos, y que la interpretación realizada no podía considerarse como arbitraria. Por consiguiente, el Tribunal consideró que no se habían agotado las vías de recurso internas, al haberse presentado el recurso de alzada tarde, lo que había privado a los tribunales internos de la posibilidad de pronunciarse sobre el fondo de sus pretensiones. Por las mismas razones, las alegaciones de la autora en relación con el derecho al debido proceso eran también inadmisible</w:t>
      </w:r>
      <w:r w:rsidR="008E2D29">
        <w:rPr>
          <w:lang w:val="es-ES"/>
        </w:rPr>
        <w:t>s por falta de fundamentación.</w:t>
      </w:r>
    </w:p>
    <w:p w14:paraId="268D5C77" w14:textId="77777777" w:rsidR="002A24C4" w:rsidRPr="00F45532" w:rsidRDefault="00860C0B" w:rsidP="00860C0B">
      <w:pPr>
        <w:pStyle w:val="H23G"/>
        <w:rPr>
          <w:lang w:val="es-ES"/>
        </w:rPr>
      </w:pPr>
      <w:r>
        <w:rPr>
          <w:lang w:val="es-ES"/>
        </w:rPr>
        <w:tab/>
      </w:r>
      <w:r>
        <w:rPr>
          <w:lang w:val="es-ES"/>
        </w:rPr>
        <w:tab/>
      </w:r>
      <w:r w:rsidR="00854761" w:rsidRPr="00F45532">
        <w:rPr>
          <w:lang w:val="es-ES"/>
        </w:rPr>
        <w:t>La denuncia</w:t>
      </w:r>
    </w:p>
    <w:p w14:paraId="1820FA54" w14:textId="77777777" w:rsidR="008E2D29" w:rsidRPr="008E2D29" w:rsidRDefault="00860C0B" w:rsidP="00860C0B">
      <w:pPr>
        <w:pStyle w:val="SingleTxtG"/>
        <w:rPr>
          <w:lang w:val="es-ES"/>
        </w:rPr>
      </w:pPr>
      <w:r>
        <w:rPr>
          <w:lang w:val="es-ES"/>
        </w:rPr>
        <w:t>3.1</w:t>
      </w:r>
      <w:r w:rsidR="008E2D29" w:rsidRPr="008E2D29">
        <w:rPr>
          <w:lang w:val="es-ES"/>
        </w:rPr>
        <w:tab/>
        <w:t xml:space="preserve">La autora considera que su expulsión del estrado de abogados por portar un velo </w:t>
      </w:r>
      <w:proofErr w:type="spellStart"/>
      <w:r w:rsidR="008E2D29" w:rsidRPr="008E2D29">
        <w:rPr>
          <w:lang w:val="es-ES"/>
        </w:rPr>
        <w:t>hyjab</w:t>
      </w:r>
      <w:proofErr w:type="spellEnd"/>
      <w:r w:rsidR="008E2D29" w:rsidRPr="008E2D29">
        <w:rPr>
          <w:lang w:val="es-ES"/>
        </w:rPr>
        <w:t xml:space="preserve"> supuso una </w:t>
      </w:r>
      <w:r w:rsidR="008E2D29" w:rsidRPr="00FD17B2">
        <w:rPr>
          <w:lang w:val="es-ES"/>
        </w:rPr>
        <w:t>violación</w:t>
      </w:r>
      <w:r w:rsidR="008E2D29" w:rsidRPr="008E2D29">
        <w:rPr>
          <w:lang w:val="es-ES"/>
        </w:rPr>
        <w:t xml:space="preserve"> a su vida privada y a su </w:t>
      </w:r>
      <w:r w:rsidR="008E2D29" w:rsidRPr="00FD17B2">
        <w:rPr>
          <w:lang w:val="es-ES"/>
        </w:rPr>
        <w:t>libertad</w:t>
      </w:r>
      <w:r w:rsidR="008E2D29" w:rsidRPr="008E2D29">
        <w:rPr>
          <w:lang w:val="es-ES"/>
        </w:rPr>
        <w:t xml:space="preserve"> religiosa </w:t>
      </w:r>
      <w:r w:rsidR="00826EC7">
        <w:rPr>
          <w:lang w:val="es-ES"/>
        </w:rPr>
        <w:t>en violación de</w:t>
      </w:r>
      <w:r w:rsidR="008E2D29" w:rsidRPr="008E2D29">
        <w:rPr>
          <w:lang w:val="es-ES"/>
        </w:rPr>
        <w:t xml:space="preserve"> los artículos 17 y 18 del Pacto.</w:t>
      </w:r>
    </w:p>
    <w:p w14:paraId="44302BBA" w14:textId="06E7E2E4" w:rsidR="008E2D29" w:rsidRPr="008E2D29" w:rsidRDefault="00860C0B" w:rsidP="00860C0B">
      <w:pPr>
        <w:pStyle w:val="SingleTxtG"/>
        <w:rPr>
          <w:lang w:val="es-ES"/>
        </w:rPr>
      </w:pPr>
      <w:r>
        <w:rPr>
          <w:lang w:val="es-ES"/>
        </w:rPr>
        <w:t>3.2</w:t>
      </w:r>
      <w:r w:rsidR="008E2D29" w:rsidRPr="008E2D29">
        <w:rPr>
          <w:lang w:val="es-ES"/>
        </w:rPr>
        <w:tab/>
        <w:t>Respecto al artículo 14</w:t>
      </w:r>
      <w:r w:rsidR="00A47139">
        <w:rPr>
          <w:lang w:val="es-ES"/>
        </w:rPr>
        <w:t>(</w:t>
      </w:r>
      <w:r w:rsidR="008E2D29" w:rsidRPr="008E2D29">
        <w:rPr>
          <w:lang w:val="es-ES"/>
        </w:rPr>
        <w:t>1</w:t>
      </w:r>
      <w:r w:rsidR="00A47139">
        <w:rPr>
          <w:lang w:val="es-ES"/>
        </w:rPr>
        <w:t>)</w:t>
      </w:r>
      <w:r w:rsidR="008E2D29" w:rsidRPr="008E2D29">
        <w:rPr>
          <w:lang w:val="es-ES"/>
        </w:rPr>
        <w:t>, la autora considera que los tribunales se negaron a entrar en el fondo del asunto de forma abusiva e ilegítima al considerar que el recurso se había presentado fuera de plazo pues la naturaleza de la decisión verbal del Juez tomada el 22 de octubre de 2009 era disciplinaria y por tanto jurisdiccional. La autora alega que la decisión era gubernativa y por tanto el recurso adecuado era el utilizado, recurso de alzada administrativo ante la Sala de Gobierno de la Audiencia Nacional, puesto que el Juez no informó sobre qué recurso cabía contra su decisión oral</w:t>
      </w:r>
      <w:r w:rsidR="007B66D4">
        <w:rPr>
          <w:lang w:val="es-ES"/>
        </w:rPr>
        <w:t>.</w:t>
      </w:r>
    </w:p>
    <w:p w14:paraId="070A55CA" w14:textId="77777777" w:rsidR="00DC7D16" w:rsidRPr="00F45532" w:rsidRDefault="008E2D29" w:rsidP="00860C0B">
      <w:pPr>
        <w:pStyle w:val="SingleTxtG"/>
        <w:rPr>
          <w:lang w:val="es-ES"/>
        </w:rPr>
      </w:pPr>
      <w:r w:rsidRPr="008E2D29">
        <w:rPr>
          <w:lang w:val="es-ES"/>
        </w:rPr>
        <w:t>3.3</w:t>
      </w:r>
      <w:r w:rsidRPr="008E2D29">
        <w:rPr>
          <w:lang w:val="es-ES"/>
        </w:rPr>
        <w:tab/>
        <w:t xml:space="preserve">La autora alega </w:t>
      </w:r>
      <w:r w:rsidRPr="00FD17B2">
        <w:rPr>
          <w:lang w:val="es-ES"/>
        </w:rPr>
        <w:t>que</w:t>
      </w:r>
      <w:r w:rsidRPr="008E2D29">
        <w:rPr>
          <w:lang w:val="es-ES"/>
        </w:rPr>
        <w:t xml:space="preserve"> su queja no fue examinada por el TEDH sobre el fondo, razón por la cual </w:t>
      </w:r>
      <w:r>
        <w:rPr>
          <w:lang w:val="es-ES"/>
        </w:rPr>
        <w:t>presenta el caso ante el Comité</w:t>
      </w:r>
      <w:r w:rsidR="00960AAC" w:rsidRPr="00960AAC">
        <w:rPr>
          <w:lang w:val="es-ES"/>
        </w:rPr>
        <w:t>.</w:t>
      </w:r>
    </w:p>
    <w:p w14:paraId="3289EA58" w14:textId="77777777" w:rsidR="00C50139" w:rsidRDefault="00860C0B" w:rsidP="00860C0B">
      <w:pPr>
        <w:pStyle w:val="H23G"/>
        <w:rPr>
          <w:lang w:val="es-ES"/>
        </w:rPr>
      </w:pPr>
      <w:r>
        <w:rPr>
          <w:lang w:val="es-ES"/>
        </w:rPr>
        <w:tab/>
      </w:r>
      <w:r>
        <w:rPr>
          <w:lang w:val="es-ES"/>
        </w:rPr>
        <w:tab/>
      </w:r>
      <w:r w:rsidR="00665E03" w:rsidRPr="00F45532">
        <w:rPr>
          <w:lang w:val="es-ES"/>
        </w:rPr>
        <w:t>Observaciones del Est</w:t>
      </w:r>
      <w:r w:rsidR="00960AAC">
        <w:rPr>
          <w:lang w:val="es-ES"/>
        </w:rPr>
        <w:t>ado parte sobre la admisibilidad</w:t>
      </w:r>
    </w:p>
    <w:p w14:paraId="6FF00224" w14:textId="77777777" w:rsidR="008E2D29" w:rsidRPr="008E2D29" w:rsidRDefault="00015197" w:rsidP="00860C0B">
      <w:pPr>
        <w:pStyle w:val="SingleTxtG"/>
        <w:rPr>
          <w:lang w:val="es-ES_tradnl"/>
        </w:rPr>
      </w:pPr>
      <w:r>
        <w:rPr>
          <w:lang w:val="es-ES_tradnl"/>
        </w:rPr>
        <w:t>4.1</w:t>
      </w:r>
      <w:r>
        <w:rPr>
          <w:lang w:val="es-ES_tradnl"/>
        </w:rPr>
        <w:tab/>
      </w:r>
      <w:r w:rsidR="008E2D29" w:rsidRPr="008E2D29">
        <w:rPr>
          <w:lang w:val="es-ES_tradnl"/>
        </w:rPr>
        <w:t>Mediante Nota verbal de 1 de marzo de 2018, el Estado parte presentó sus observaciones sobre la ad</w:t>
      </w:r>
      <w:r w:rsidR="00516F38">
        <w:rPr>
          <w:lang w:val="es-ES_tradnl"/>
        </w:rPr>
        <w:t>misibilidad de la comunicación.</w:t>
      </w:r>
    </w:p>
    <w:p w14:paraId="658F068D" w14:textId="5674A4B5" w:rsidR="008E2D29" w:rsidRPr="008E2D29" w:rsidRDefault="00015197" w:rsidP="00860C0B">
      <w:pPr>
        <w:pStyle w:val="SingleTxtG"/>
        <w:rPr>
          <w:lang w:val="es-ES_tradnl"/>
        </w:rPr>
      </w:pPr>
      <w:r>
        <w:rPr>
          <w:lang w:val="es-ES_tradnl"/>
        </w:rPr>
        <w:t>4.2</w:t>
      </w:r>
      <w:r>
        <w:rPr>
          <w:lang w:val="es-ES_tradnl"/>
        </w:rPr>
        <w:tab/>
      </w:r>
      <w:r w:rsidR="008E2D29" w:rsidRPr="008E2D29">
        <w:rPr>
          <w:lang w:val="es-ES_tradnl"/>
        </w:rPr>
        <w:t xml:space="preserve">El Estado </w:t>
      </w:r>
      <w:r w:rsidR="00826EC7">
        <w:rPr>
          <w:lang w:val="es-ES_tradnl"/>
        </w:rPr>
        <w:t>p</w:t>
      </w:r>
      <w:r w:rsidR="00826EC7" w:rsidRPr="008E2D29">
        <w:rPr>
          <w:lang w:val="es-ES_tradnl"/>
        </w:rPr>
        <w:t xml:space="preserve">arte </w:t>
      </w:r>
      <w:r w:rsidR="008E2D29" w:rsidRPr="008E2D29">
        <w:rPr>
          <w:lang w:val="es-ES_tradnl"/>
        </w:rPr>
        <w:t xml:space="preserve">considera que la comunicación es inadmisible por haber sido sometida previamente a otro procedimiento de examen internacional, en este caso, el </w:t>
      </w:r>
      <w:r w:rsidR="002464B8">
        <w:rPr>
          <w:lang w:val="es-ES_tradnl"/>
        </w:rPr>
        <w:t xml:space="preserve">Tribunal Europeo de Derechos </w:t>
      </w:r>
      <w:r w:rsidR="002464B8" w:rsidRPr="00FD17B2">
        <w:rPr>
          <w:lang w:val="es-ES"/>
        </w:rPr>
        <w:t>Humanos</w:t>
      </w:r>
      <w:r w:rsidR="0084271D">
        <w:rPr>
          <w:rStyle w:val="FootnoteReference"/>
          <w:lang w:val="es-ES"/>
        </w:rPr>
        <w:footnoteReference w:id="5"/>
      </w:r>
      <w:r w:rsidR="002464B8">
        <w:rPr>
          <w:lang w:val="es-ES_tradnl"/>
        </w:rPr>
        <w:t>. El 26 de abril de 2016, dicho Tribunal</w:t>
      </w:r>
      <w:r w:rsidR="008E2D29" w:rsidRPr="008E2D29">
        <w:rPr>
          <w:lang w:val="es-ES_tradnl"/>
        </w:rPr>
        <w:t xml:space="preserve"> declaró el caso inadmisible por decisión en formación de siete jueces concluyendo, por unanimidad, que no se habían agotado los recursos internos.</w:t>
      </w:r>
    </w:p>
    <w:p w14:paraId="3AFB4995" w14:textId="77777777" w:rsidR="008E2D29" w:rsidRPr="008E2D29" w:rsidRDefault="00015197" w:rsidP="00860C0B">
      <w:pPr>
        <w:pStyle w:val="SingleTxtG"/>
        <w:rPr>
          <w:lang w:val="es-ES_tradnl"/>
        </w:rPr>
      </w:pPr>
      <w:r>
        <w:rPr>
          <w:lang w:val="es-ES_tradnl"/>
        </w:rPr>
        <w:t>4.3</w:t>
      </w:r>
      <w:r>
        <w:rPr>
          <w:lang w:val="es-ES_tradnl"/>
        </w:rPr>
        <w:tab/>
      </w:r>
      <w:r w:rsidR="008E2D29" w:rsidRPr="008E2D29">
        <w:rPr>
          <w:lang w:val="es-ES_tradnl"/>
        </w:rPr>
        <w:t xml:space="preserve">El Estado parte también alega que la autora no ha agotado los recursos internos como requerido por el </w:t>
      </w:r>
      <w:r w:rsidR="008E2D29" w:rsidRPr="000F2586">
        <w:rPr>
          <w:lang w:val="es-ES_tradnl"/>
        </w:rPr>
        <w:t>artículo</w:t>
      </w:r>
      <w:r w:rsidR="008E2D29" w:rsidRPr="008E2D29">
        <w:rPr>
          <w:lang w:val="es-ES_tradnl"/>
        </w:rPr>
        <w:t xml:space="preserve"> 5 (2) (b) del Protocolo Facultativo. Hace notar que, según la decisión de</w:t>
      </w:r>
      <w:r w:rsidR="002464B8">
        <w:rPr>
          <w:lang w:val="es-ES_tradnl"/>
        </w:rPr>
        <w:t>l</w:t>
      </w:r>
      <w:r w:rsidR="008E2D29" w:rsidRPr="008E2D29">
        <w:rPr>
          <w:lang w:val="es-ES_tradnl"/>
        </w:rPr>
        <w:t xml:space="preserve"> 26 de abril de 2016 del </w:t>
      </w:r>
      <w:r w:rsidR="002464B8">
        <w:rPr>
          <w:lang w:val="es-ES_tradnl"/>
        </w:rPr>
        <w:t>Tribunal Europeo de Derechos Humanos</w:t>
      </w:r>
      <w:r w:rsidR="008E2D29" w:rsidRPr="008E2D29">
        <w:rPr>
          <w:lang w:val="es-ES_tradnl"/>
        </w:rPr>
        <w:t>, la autora, al haber interpuesto extemporáneamente el recurso de alzada (interpuesto el 11 de noviembre de 2009), impidió que las jurisdicciones internas pudieran pronunciarse sobre el fondo del asunto.</w:t>
      </w:r>
    </w:p>
    <w:p w14:paraId="5542A45B" w14:textId="77777777" w:rsidR="00DE31AE" w:rsidRPr="00516F38" w:rsidRDefault="00015197" w:rsidP="00860C0B">
      <w:pPr>
        <w:pStyle w:val="SingleTxtG"/>
        <w:rPr>
          <w:lang w:val="es-ES"/>
        </w:rPr>
      </w:pPr>
      <w:r>
        <w:rPr>
          <w:lang w:val="es-ES_tradnl"/>
        </w:rPr>
        <w:t>4.4</w:t>
      </w:r>
      <w:r>
        <w:rPr>
          <w:lang w:val="es-ES_tradnl"/>
        </w:rPr>
        <w:tab/>
      </w:r>
      <w:r w:rsidR="008E2D29" w:rsidRPr="008E2D29">
        <w:rPr>
          <w:lang w:val="es-ES_tradnl"/>
        </w:rPr>
        <w:t xml:space="preserve">Por último, el Estado parte considera que la comunicación adolece de una falta manifiesta de </w:t>
      </w:r>
      <w:r w:rsidR="008E2D29" w:rsidRPr="00FD17B2">
        <w:rPr>
          <w:lang w:val="es-ES"/>
        </w:rPr>
        <w:t>fundamento</w:t>
      </w:r>
      <w:r w:rsidR="008E2D29" w:rsidRPr="008E2D29">
        <w:rPr>
          <w:lang w:val="es-ES_tradnl"/>
        </w:rPr>
        <w:t>. E</w:t>
      </w:r>
      <w:r w:rsidR="00F7564D">
        <w:rPr>
          <w:lang w:val="es-ES_tradnl"/>
        </w:rPr>
        <w:t>n este sentido,</w:t>
      </w:r>
      <w:r w:rsidR="008E2D29" w:rsidRPr="008E2D29">
        <w:rPr>
          <w:lang w:val="es-ES_tradnl"/>
        </w:rPr>
        <w:t xml:space="preserve"> recuerda que el Tribunal Constitucional inadmitió a trámite el recurso de la autora por “manifiesta inexistencia de violación de un derecho f</w:t>
      </w:r>
      <w:r w:rsidR="008E2D29">
        <w:rPr>
          <w:lang w:val="es-ES_tradnl"/>
        </w:rPr>
        <w:t xml:space="preserve">undamental </w:t>
      </w:r>
      <w:proofErr w:type="spellStart"/>
      <w:r w:rsidR="008E2D29">
        <w:rPr>
          <w:lang w:val="es-ES_tradnl"/>
        </w:rPr>
        <w:t>tutelable</w:t>
      </w:r>
      <w:proofErr w:type="spellEnd"/>
      <w:r w:rsidR="008E2D29">
        <w:rPr>
          <w:lang w:val="es-ES_tradnl"/>
        </w:rPr>
        <w:t xml:space="preserve"> en amparo”</w:t>
      </w:r>
      <w:r w:rsidR="00960AAC" w:rsidRPr="00960AAC">
        <w:rPr>
          <w:lang w:val="es-ES"/>
        </w:rPr>
        <w:t>.</w:t>
      </w:r>
    </w:p>
    <w:p w14:paraId="78A81EFB" w14:textId="77777777" w:rsidR="00FB4C8C" w:rsidRPr="00F45532" w:rsidRDefault="00860C0B" w:rsidP="00860C0B">
      <w:pPr>
        <w:pStyle w:val="H23G"/>
        <w:rPr>
          <w:lang w:val="es-ES"/>
        </w:rPr>
      </w:pPr>
      <w:r>
        <w:rPr>
          <w:lang w:val="es-ES"/>
        </w:rPr>
        <w:tab/>
      </w:r>
      <w:r>
        <w:rPr>
          <w:lang w:val="es-ES"/>
        </w:rPr>
        <w:tab/>
      </w:r>
      <w:r w:rsidR="00FB4C8C" w:rsidRPr="00F45532">
        <w:rPr>
          <w:lang w:val="es-ES"/>
        </w:rPr>
        <w:t xml:space="preserve">Comentarios </w:t>
      </w:r>
      <w:r w:rsidR="00960AAC">
        <w:rPr>
          <w:lang w:val="es-ES"/>
        </w:rPr>
        <w:t>de la autora</w:t>
      </w:r>
      <w:r w:rsidR="00FB4C8C" w:rsidRPr="00F45532">
        <w:rPr>
          <w:lang w:val="es-ES"/>
        </w:rPr>
        <w:t xml:space="preserve"> </w:t>
      </w:r>
      <w:r w:rsidR="00960AAC">
        <w:rPr>
          <w:lang w:val="es-ES"/>
        </w:rPr>
        <w:t>a</w:t>
      </w:r>
      <w:r w:rsidR="00FB4C8C" w:rsidRPr="00F45532">
        <w:rPr>
          <w:lang w:val="es-ES"/>
        </w:rPr>
        <w:t xml:space="preserve"> las observaciones del Estado</w:t>
      </w:r>
      <w:r w:rsidR="004749B7" w:rsidRPr="00F45532">
        <w:rPr>
          <w:lang w:val="es-ES"/>
        </w:rPr>
        <w:t xml:space="preserve"> parte</w:t>
      </w:r>
      <w:r w:rsidR="003C44DF" w:rsidRPr="00F45532">
        <w:rPr>
          <w:lang w:val="es-ES"/>
        </w:rPr>
        <w:t xml:space="preserve"> sobre la admisibilidad</w:t>
      </w:r>
    </w:p>
    <w:p w14:paraId="64B980E9" w14:textId="77777777" w:rsidR="008E2D29" w:rsidRPr="008E2D29" w:rsidRDefault="00600308" w:rsidP="00860C0B">
      <w:pPr>
        <w:pStyle w:val="SingleTxtG"/>
        <w:rPr>
          <w:lang w:val="es-ES_tradnl"/>
        </w:rPr>
      </w:pPr>
      <w:r>
        <w:rPr>
          <w:lang w:val="es-ES_tradnl"/>
        </w:rPr>
        <w:t>5.1</w:t>
      </w:r>
      <w:r>
        <w:rPr>
          <w:lang w:val="es-ES_tradnl"/>
        </w:rPr>
        <w:tab/>
      </w:r>
      <w:r w:rsidR="008E2D29" w:rsidRPr="008E2D29">
        <w:rPr>
          <w:lang w:val="es-ES_tradnl"/>
        </w:rPr>
        <w:t xml:space="preserve">El 3 de julio de 2018, la autora respondió a las observaciones del </w:t>
      </w:r>
      <w:r w:rsidR="00F7564D">
        <w:rPr>
          <w:lang w:val="es-ES_tradnl"/>
        </w:rPr>
        <w:t>E</w:t>
      </w:r>
      <w:r w:rsidR="00F7564D" w:rsidRPr="008E2D29">
        <w:rPr>
          <w:lang w:val="es-ES_tradnl"/>
        </w:rPr>
        <w:t xml:space="preserve">stado </w:t>
      </w:r>
      <w:r w:rsidR="008E2D29" w:rsidRPr="008E2D29">
        <w:rPr>
          <w:lang w:val="es-ES_tradnl"/>
        </w:rPr>
        <w:t xml:space="preserve">parte sobre la admisibilidad de la comunicación. </w:t>
      </w:r>
    </w:p>
    <w:p w14:paraId="3B93630E" w14:textId="77777777" w:rsidR="008E2D29" w:rsidRPr="008E2D29" w:rsidRDefault="00600308" w:rsidP="00860C0B">
      <w:pPr>
        <w:pStyle w:val="SingleTxtG"/>
        <w:rPr>
          <w:lang w:val="es-ES_tradnl"/>
        </w:rPr>
      </w:pPr>
      <w:r>
        <w:rPr>
          <w:lang w:val="es-ES_tradnl"/>
        </w:rPr>
        <w:t>5.2</w:t>
      </w:r>
      <w:r>
        <w:rPr>
          <w:lang w:val="es-ES_tradnl"/>
        </w:rPr>
        <w:tab/>
      </w:r>
      <w:r w:rsidR="008E2D29" w:rsidRPr="008E2D29">
        <w:rPr>
          <w:lang w:val="es-ES_tradnl"/>
        </w:rPr>
        <w:t xml:space="preserve">La autora hace notar que el Tribunal Constitucional español en su decisión del 17 de diciembre de 2012, inadmitió el amparo por inexistencia de violación de un derecho </w:t>
      </w:r>
      <w:r w:rsidR="008E2D29" w:rsidRPr="008E2D29">
        <w:rPr>
          <w:lang w:val="es-ES_tradnl"/>
        </w:rPr>
        <w:lastRenderedPageBreak/>
        <w:t>fundamental. Esta decisión implica que el Tribunal Constitucional hizo un examen previo de los requisitos formales, incluido el agotamiento de recursos previos, y que posteriormente entró a conocer del fondo. Por tanto, el propio Tribunal Constitucional testifica de que la demandante hizo uso de todas las instancias disponibles, agotando todos los recursos internos.</w:t>
      </w:r>
    </w:p>
    <w:p w14:paraId="204BE5F5" w14:textId="5AC1C4E1" w:rsidR="008E2D29" w:rsidRPr="008E2D29" w:rsidRDefault="00600308" w:rsidP="00860C0B">
      <w:pPr>
        <w:pStyle w:val="SingleTxtG"/>
        <w:rPr>
          <w:lang w:val="es-ES_tradnl"/>
        </w:rPr>
      </w:pPr>
      <w:r>
        <w:rPr>
          <w:lang w:val="es-ES_tradnl"/>
        </w:rPr>
        <w:t>5.3</w:t>
      </w:r>
      <w:r>
        <w:rPr>
          <w:lang w:val="es-ES_tradnl"/>
        </w:rPr>
        <w:tab/>
      </w:r>
      <w:r w:rsidR="008E2D29" w:rsidRPr="008E2D29">
        <w:rPr>
          <w:lang w:val="es-ES_tradnl"/>
        </w:rPr>
        <w:t xml:space="preserve">Respecto a la inadmisibilidad de la comunicación por haber sido ya examinada por otro mecanismo de examen internacional, la autora afirma que, en el caso de su queja, la decisión de inadmisibilidad del </w:t>
      </w:r>
      <w:r w:rsidR="00F7564D">
        <w:rPr>
          <w:lang w:val="es-ES_tradnl"/>
        </w:rPr>
        <w:t>Tribunal Europeo de Derechos Humanos</w:t>
      </w:r>
      <w:r w:rsidR="00F7564D" w:rsidRPr="008E2D29" w:rsidDel="00F7564D">
        <w:rPr>
          <w:lang w:val="es-ES_tradnl"/>
        </w:rPr>
        <w:t xml:space="preserve"> </w:t>
      </w:r>
      <w:r w:rsidR="008E2D29" w:rsidRPr="008E2D29">
        <w:rPr>
          <w:lang w:val="es-ES_tradnl"/>
        </w:rPr>
        <w:t xml:space="preserve">por no haberse agotado las vías de recursos </w:t>
      </w:r>
      <w:r w:rsidR="008E2D29" w:rsidRPr="00FD17B2">
        <w:rPr>
          <w:lang w:val="es-ES"/>
        </w:rPr>
        <w:t>internos</w:t>
      </w:r>
      <w:r w:rsidR="008E2D29" w:rsidRPr="008E2D29">
        <w:rPr>
          <w:lang w:val="es-ES_tradnl"/>
        </w:rPr>
        <w:t xml:space="preserve"> fue manifiestamente errónea, como pone de manifiesto la decisión del Tribunal Constitucional español. En opinión de la autora, el </w:t>
      </w:r>
      <w:r w:rsidR="00F7564D">
        <w:rPr>
          <w:lang w:val="es-ES_tradnl"/>
        </w:rPr>
        <w:t>Tribunal Europeo de Derechos Humanos</w:t>
      </w:r>
      <w:r w:rsidR="008E2D29" w:rsidRPr="008E2D29">
        <w:rPr>
          <w:lang w:val="es-ES_tradnl"/>
        </w:rPr>
        <w:t xml:space="preserve"> hizo de un asunto irrelevante, como es una resolución administrativa tardía (la resolución de la Audiencia Nacional de 18 de julio de 2011), el fundamento principal para encontrar una falta de a</w:t>
      </w:r>
      <w:r w:rsidR="00351D23">
        <w:rPr>
          <w:lang w:val="es-ES_tradnl"/>
        </w:rPr>
        <w:t>gotamiento de recursos internos.</w:t>
      </w:r>
      <w:r w:rsidR="008E2D29" w:rsidRPr="008E2D29">
        <w:rPr>
          <w:lang w:val="es-ES_tradnl"/>
        </w:rPr>
        <w:t xml:space="preserve">  La autora además recuer</w:t>
      </w:r>
      <w:r w:rsidR="008E2D29">
        <w:rPr>
          <w:lang w:val="es-ES_tradnl"/>
        </w:rPr>
        <w:t>da la jurisprudencia del Comité</w:t>
      </w:r>
      <w:r w:rsidR="008E2D29">
        <w:rPr>
          <w:rStyle w:val="FootnoteReference"/>
          <w:lang w:val="es-ES_tradnl"/>
        </w:rPr>
        <w:footnoteReference w:id="6"/>
      </w:r>
      <w:r w:rsidR="008E2D29" w:rsidRPr="008E2D29">
        <w:rPr>
          <w:lang w:val="es-ES_tradnl"/>
        </w:rPr>
        <w:t xml:space="preserve"> según la cual, cuando el limitado razonamiento del </w:t>
      </w:r>
      <w:r w:rsidR="00F7564D">
        <w:rPr>
          <w:lang w:val="es-ES_tradnl"/>
        </w:rPr>
        <w:t>Tribunal Europeo de Derechos Humanos</w:t>
      </w:r>
      <w:r w:rsidR="00F7564D" w:rsidRPr="008E2D29" w:rsidDel="00F7564D">
        <w:rPr>
          <w:lang w:val="es-ES_tradnl"/>
        </w:rPr>
        <w:t xml:space="preserve"> </w:t>
      </w:r>
      <w:r w:rsidR="008E2D29" w:rsidRPr="008E2D29">
        <w:rPr>
          <w:lang w:val="es-ES_tradnl"/>
        </w:rPr>
        <w:t>no permite al Comité asumir que el examen incluyera una consideración de los elementos de fondo, el Comité no está impedido de examinar una comunicación con arreglo a las reservas al artículo 5 (2) (a).</w:t>
      </w:r>
    </w:p>
    <w:p w14:paraId="1AC1A1A0" w14:textId="77777777" w:rsidR="00960AAC" w:rsidRPr="00960AAC" w:rsidRDefault="00600308" w:rsidP="00860C0B">
      <w:pPr>
        <w:pStyle w:val="SingleTxtG"/>
        <w:rPr>
          <w:lang w:val="es-ES_tradnl"/>
        </w:rPr>
      </w:pPr>
      <w:r>
        <w:rPr>
          <w:lang w:val="es-ES_tradnl"/>
        </w:rPr>
        <w:t>5.4</w:t>
      </w:r>
      <w:r>
        <w:rPr>
          <w:lang w:val="es-ES_tradnl"/>
        </w:rPr>
        <w:tab/>
      </w:r>
      <w:r w:rsidR="008E2D29" w:rsidRPr="008E2D29">
        <w:rPr>
          <w:lang w:val="es-ES_tradnl"/>
        </w:rPr>
        <w:t xml:space="preserve">Respecto a la </w:t>
      </w:r>
      <w:r w:rsidR="008E2D29" w:rsidRPr="00FD17B2">
        <w:rPr>
          <w:lang w:val="es-ES"/>
        </w:rPr>
        <w:t>inadmisibilidad</w:t>
      </w:r>
      <w:r w:rsidR="008E2D29" w:rsidRPr="008E2D29">
        <w:rPr>
          <w:lang w:val="es-ES_tradnl"/>
        </w:rPr>
        <w:t xml:space="preserve"> de la comunicación por falta de fundamentación, la autora recuerda que el Estado basa este argumento en la decisión del Tribunal Constitucional, la cual precisamente contradice la alegación de falta de agotam</w:t>
      </w:r>
      <w:r w:rsidR="00516F38">
        <w:rPr>
          <w:lang w:val="es-ES_tradnl"/>
        </w:rPr>
        <w:t>iento de los recursos internos.</w:t>
      </w:r>
    </w:p>
    <w:p w14:paraId="116244C1" w14:textId="77777777" w:rsidR="002D6D54" w:rsidRPr="00F45532" w:rsidRDefault="00860C0B" w:rsidP="00860C0B">
      <w:pPr>
        <w:pStyle w:val="H23G"/>
        <w:rPr>
          <w:lang w:val="es-ES"/>
        </w:rPr>
      </w:pPr>
      <w:r>
        <w:rPr>
          <w:lang w:val="es-ES"/>
        </w:rPr>
        <w:tab/>
      </w:r>
      <w:r>
        <w:rPr>
          <w:lang w:val="es-ES"/>
        </w:rPr>
        <w:tab/>
      </w:r>
      <w:r w:rsidR="002D6D54" w:rsidRPr="00F45532">
        <w:rPr>
          <w:lang w:val="es-ES"/>
        </w:rPr>
        <w:t xml:space="preserve">Observaciones </w:t>
      </w:r>
      <w:r w:rsidR="006A4F5F">
        <w:rPr>
          <w:lang w:val="es-ES"/>
        </w:rPr>
        <w:t>adicionales del Estado parte sobre la admisibilidad</w:t>
      </w:r>
    </w:p>
    <w:p w14:paraId="01F45A7D" w14:textId="77777777" w:rsidR="009134B7" w:rsidRPr="006A4F5F" w:rsidRDefault="007E1074" w:rsidP="00860C0B">
      <w:pPr>
        <w:pStyle w:val="SingleTxtG"/>
        <w:rPr>
          <w:lang w:val="es-ES"/>
        </w:rPr>
      </w:pPr>
      <w:r>
        <w:rPr>
          <w:lang w:val="es-ES"/>
        </w:rPr>
        <w:t>6.</w:t>
      </w:r>
      <w:r w:rsidR="006A4F5F" w:rsidRPr="006A4F5F">
        <w:rPr>
          <w:lang w:val="es-ES"/>
        </w:rPr>
        <w:tab/>
        <w:t>Mediante observaciones adicionales de 4 de junio de 2019</w:t>
      </w:r>
      <w:r w:rsidR="00AF5BAF">
        <w:rPr>
          <w:lang w:val="es-ES"/>
        </w:rPr>
        <w:t xml:space="preserve"> y de 31 de julio de 2019</w:t>
      </w:r>
      <w:r w:rsidR="006A4F5F" w:rsidRPr="006A4F5F">
        <w:rPr>
          <w:lang w:val="es-ES"/>
        </w:rPr>
        <w:t>, el Estado parte</w:t>
      </w:r>
      <w:r w:rsidR="00AF5BAF">
        <w:rPr>
          <w:lang w:val="es-ES"/>
        </w:rPr>
        <w:t xml:space="preserve"> se reitera en sus alegaciones anteriormente expuestas y</w:t>
      </w:r>
      <w:r w:rsidR="006A4F5F" w:rsidRPr="006A4F5F">
        <w:rPr>
          <w:lang w:val="es-ES"/>
        </w:rPr>
        <w:t xml:space="preserve"> manifiesta que la decisión de inadmisión por manifiesta inexistencia de violación de un derecho fundamental emitida por el Tribunal Constitucional el 17 de diciembre de 2012, no implica que este Tribunal hubiera </w:t>
      </w:r>
      <w:r w:rsidR="006A4F5F" w:rsidRPr="00FD17B2">
        <w:rPr>
          <w:lang w:val="es-ES"/>
        </w:rPr>
        <w:t>examinado</w:t>
      </w:r>
      <w:r w:rsidR="006A4F5F" w:rsidRPr="006A4F5F">
        <w:rPr>
          <w:lang w:val="es-ES"/>
        </w:rPr>
        <w:t xml:space="preserve"> previamente el agotamiento de recursos previos al amparo. En realidad, constatada prima facie por el Tribunal la manifiesta inexistencia de vulneración de un derecho fundamental, no era necesario examinar si había existido agot</w:t>
      </w:r>
      <w:r w:rsidR="006A4F5F">
        <w:rPr>
          <w:lang w:val="es-ES"/>
        </w:rPr>
        <w:t>amiento de los recursos previos</w:t>
      </w:r>
      <w:r w:rsidR="00960AAC" w:rsidRPr="00960AAC">
        <w:rPr>
          <w:lang w:val="es-CL"/>
        </w:rPr>
        <w:t>.</w:t>
      </w:r>
      <w:r w:rsidR="00AF5BAF">
        <w:rPr>
          <w:lang w:val="es-CL"/>
        </w:rPr>
        <w:t xml:space="preserve"> El Estado parte señala que el Tribunal Constitucional ha rechazado recursos de amparo por cuestiones de procedimiento incluso después de haberlos admitido a trámite por apreciar contenido constitucional</w:t>
      </w:r>
      <w:r w:rsidR="00AF5BAF">
        <w:rPr>
          <w:rStyle w:val="FootnoteReference"/>
          <w:lang w:val="es-CL"/>
        </w:rPr>
        <w:footnoteReference w:id="7"/>
      </w:r>
      <w:r w:rsidR="00AF5BAF">
        <w:rPr>
          <w:lang w:val="es-CL"/>
        </w:rPr>
        <w:t>.</w:t>
      </w:r>
    </w:p>
    <w:p w14:paraId="16400DA2" w14:textId="77777777" w:rsidR="002D6D54" w:rsidRPr="00F45532" w:rsidRDefault="00860C0B" w:rsidP="00860C0B">
      <w:pPr>
        <w:pStyle w:val="H23G"/>
        <w:rPr>
          <w:lang w:val="es-ES"/>
        </w:rPr>
      </w:pPr>
      <w:r>
        <w:rPr>
          <w:lang w:val="es-ES"/>
        </w:rPr>
        <w:tab/>
      </w:r>
      <w:r>
        <w:rPr>
          <w:lang w:val="es-ES"/>
        </w:rPr>
        <w:tab/>
      </w:r>
      <w:r w:rsidR="002D6D54" w:rsidRPr="00F45532">
        <w:rPr>
          <w:lang w:val="es-ES"/>
        </w:rPr>
        <w:t xml:space="preserve">Comentarios </w:t>
      </w:r>
      <w:r w:rsidR="00960AAC">
        <w:rPr>
          <w:lang w:val="es-ES"/>
        </w:rPr>
        <w:t>de la autora</w:t>
      </w:r>
      <w:r w:rsidR="002D6D54" w:rsidRPr="00F45532">
        <w:rPr>
          <w:lang w:val="es-ES"/>
        </w:rPr>
        <w:t xml:space="preserve"> a las observac</w:t>
      </w:r>
      <w:r w:rsidR="00036E20">
        <w:rPr>
          <w:lang w:val="es-ES"/>
        </w:rPr>
        <w:t>iones adicionales</w:t>
      </w:r>
      <w:r w:rsidR="00676E0F">
        <w:rPr>
          <w:lang w:val="es-ES"/>
        </w:rPr>
        <w:t xml:space="preserve"> del Estado parte</w:t>
      </w:r>
    </w:p>
    <w:p w14:paraId="3257B760" w14:textId="77777777" w:rsidR="00B6716D" w:rsidRPr="00F45532" w:rsidRDefault="00966B84" w:rsidP="009C6531">
      <w:pPr>
        <w:pStyle w:val="SingleTxtG"/>
        <w:rPr>
          <w:lang w:val="es-ES_tradnl"/>
        </w:rPr>
      </w:pPr>
      <w:r>
        <w:rPr>
          <w:lang w:val="es-ES"/>
        </w:rPr>
        <w:t>7</w:t>
      </w:r>
      <w:r w:rsidR="007E1074">
        <w:rPr>
          <w:lang w:val="es-CL"/>
        </w:rPr>
        <w:t>.</w:t>
      </w:r>
      <w:r w:rsidR="00960AAC" w:rsidRPr="00960AAC">
        <w:rPr>
          <w:lang w:val="es-CL"/>
        </w:rPr>
        <w:tab/>
      </w:r>
      <w:r w:rsidR="006A4F5F" w:rsidRPr="006A4F5F">
        <w:rPr>
          <w:lang w:val="es-ES"/>
        </w:rPr>
        <w:t xml:space="preserve">El 22 de junio de 2019, la autora considera manifiestamente inveraces las observaciones del </w:t>
      </w:r>
      <w:r w:rsidR="006A4F5F" w:rsidRPr="00FD17B2">
        <w:rPr>
          <w:lang w:val="es-ES"/>
        </w:rPr>
        <w:t>Estado</w:t>
      </w:r>
      <w:r w:rsidR="006A4F5F" w:rsidRPr="006A4F5F">
        <w:rPr>
          <w:lang w:val="es-ES"/>
        </w:rPr>
        <w:t xml:space="preserve"> </w:t>
      </w:r>
      <w:r w:rsidR="00F7564D">
        <w:rPr>
          <w:lang w:val="es-ES"/>
        </w:rPr>
        <w:t>p</w:t>
      </w:r>
      <w:r w:rsidR="00F7564D" w:rsidRPr="006A4F5F">
        <w:rPr>
          <w:lang w:val="es-ES"/>
        </w:rPr>
        <w:t xml:space="preserve">arte </w:t>
      </w:r>
      <w:r w:rsidR="006A4F5F" w:rsidRPr="006A4F5F">
        <w:rPr>
          <w:lang w:val="es-ES"/>
        </w:rPr>
        <w:t xml:space="preserve">pues afirma que </w:t>
      </w:r>
      <w:r w:rsidR="006A4F5F" w:rsidRPr="00FD17B2">
        <w:rPr>
          <w:lang w:val="es-ES"/>
        </w:rPr>
        <w:t>cuando</w:t>
      </w:r>
      <w:r w:rsidR="006A4F5F" w:rsidRPr="006A4F5F">
        <w:rPr>
          <w:lang w:val="es-ES"/>
        </w:rPr>
        <w:t xml:space="preserve"> el Tribunal Constitucional no admite un recurso de amparo por inexistencia manifiesta de violación de un derecho fundamental, ya ha dado por válido el agotamiento de recursos previos. La autora expone que el artículo 44.1 (a) de la Ley Orgánica del Tribunal Constitucional establece el requisito de agotamiento de todos los recursos previos para la presentación de recursos de amparo contra resoluciones judiciales. La autora también recuerda que la resolución de inadmisión del Tribunal Constitucional motivaba su decisión, con arreglo al artículo 50.1 (a)</w:t>
      </w:r>
      <w:r w:rsidR="006A4F5F" w:rsidRPr="006A4F5F">
        <w:rPr>
          <w:vertAlign w:val="superscript"/>
          <w:lang w:val="es-ES"/>
        </w:rPr>
        <w:footnoteReference w:id="8"/>
      </w:r>
      <w:r w:rsidR="006A4F5F" w:rsidRPr="006A4F5F">
        <w:rPr>
          <w:lang w:val="es-ES"/>
        </w:rPr>
        <w:t xml:space="preserve"> de la misma Ley, dada la manifiesta inexistencia de violación de un derecho fundamental </w:t>
      </w:r>
      <w:proofErr w:type="spellStart"/>
      <w:r w:rsidR="006A4F5F" w:rsidRPr="006A4F5F">
        <w:rPr>
          <w:lang w:val="es-ES"/>
        </w:rPr>
        <w:t>tutelable</w:t>
      </w:r>
      <w:proofErr w:type="spellEnd"/>
      <w:r w:rsidR="006A4F5F" w:rsidRPr="006A4F5F">
        <w:rPr>
          <w:lang w:val="es-ES"/>
        </w:rPr>
        <w:t xml:space="preserve"> en amparo, de acuerdo con el artículo 44.1. Dado que el Tribunal Constitucional ha considerado los recursos previos agotados, el Estado </w:t>
      </w:r>
      <w:r w:rsidR="00F7564D">
        <w:rPr>
          <w:lang w:val="es-ES"/>
        </w:rPr>
        <w:t>p</w:t>
      </w:r>
      <w:r w:rsidR="00F7564D" w:rsidRPr="006A4F5F">
        <w:rPr>
          <w:lang w:val="es-ES"/>
        </w:rPr>
        <w:t xml:space="preserve">arte </w:t>
      </w:r>
      <w:r w:rsidR="006A4F5F" w:rsidRPr="006A4F5F">
        <w:rPr>
          <w:lang w:val="es-ES"/>
        </w:rPr>
        <w:t xml:space="preserve">no puede reabrir ese debate ante el Comité. Las alegaciones del Estado </w:t>
      </w:r>
      <w:r w:rsidR="00F7564D">
        <w:rPr>
          <w:lang w:val="es-ES"/>
        </w:rPr>
        <w:t>p</w:t>
      </w:r>
      <w:r w:rsidR="00F7564D" w:rsidRPr="006A4F5F">
        <w:rPr>
          <w:lang w:val="es-ES"/>
        </w:rPr>
        <w:t xml:space="preserve">arte </w:t>
      </w:r>
      <w:r w:rsidR="006A4F5F" w:rsidRPr="006A4F5F">
        <w:rPr>
          <w:lang w:val="es-ES"/>
        </w:rPr>
        <w:t xml:space="preserve">ponen de manifiesto por tanto una falta de respeto al principio de buena fe que informa el </w:t>
      </w:r>
      <w:r w:rsidR="006A4F5F" w:rsidRPr="00FD17B2">
        <w:rPr>
          <w:lang w:val="es-ES"/>
        </w:rPr>
        <w:t>derecho</w:t>
      </w:r>
      <w:r w:rsidR="006A4F5F" w:rsidRPr="006A4F5F">
        <w:rPr>
          <w:lang w:val="es-ES"/>
        </w:rPr>
        <w:t xml:space="preserve"> internacional de los tratados</w:t>
      </w:r>
      <w:r w:rsidR="00B6716D" w:rsidRPr="00F45532">
        <w:rPr>
          <w:lang w:val="es-ES_tradnl"/>
        </w:rPr>
        <w:t>.</w:t>
      </w:r>
    </w:p>
    <w:p w14:paraId="6A22BF34" w14:textId="77777777" w:rsidR="00DE7AD0" w:rsidRPr="00F45532" w:rsidRDefault="009C6531" w:rsidP="009C6531">
      <w:pPr>
        <w:pStyle w:val="H23G"/>
        <w:rPr>
          <w:lang w:val="es-ES"/>
        </w:rPr>
      </w:pPr>
      <w:r>
        <w:rPr>
          <w:lang w:val="es-ES"/>
        </w:rPr>
        <w:lastRenderedPageBreak/>
        <w:tab/>
      </w:r>
      <w:r>
        <w:rPr>
          <w:lang w:val="es-ES"/>
        </w:rPr>
        <w:tab/>
      </w:r>
      <w:r w:rsidR="00114ED4" w:rsidRPr="00F45532">
        <w:rPr>
          <w:lang w:val="es-ES"/>
        </w:rPr>
        <w:t>Deliberaciones del Comité</w:t>
      </w:r>
    </w:p>
    <w:p w14:paraId="520E2C38" w14:textId="77777777" w:rsidR="00F3740C" w:rsidRPr="00F80326" w:rsidRDefault="009C6531" w:rsidP="009C6531">
      <w:pPr>
        <w:pStyle w:val="H4G"/>
        <w:rPr>
          <w:lang w:val="es-ES"/>
        </w:rPr>
      </w:pPr>
      <w:r>
        <w:rPr>
          <w:lang w:val="es-ES"/>
        </w:rPr>
        <w:tab/>
      </w:r>
      <w:r>
        <w:rPr>
          <w:lang w:val="es-ES"/>
        </w:rPr>
        <w:tab/>
      </w:r>
      <w:r w:rsidR="00F3740C" w:rsidRPr="00F45532">
        <w:rPr>
          <w:lang w:val="es-ES"/>
        </w:rPr>
        <w:t>Examen de la admisibilidad</w:t>
      </w:r>
    </w:p>
    <w:p w14:paraId="04C343A1" w14:textId="77777777" w:rsidR="00036E20" w:rsidRPr="00036E20" w:rsidRDefault="007E1074" w:rsidP="009C6531">
      <w:pPr>
        <w:pStyle w:val="SingleTxtG"/>
        <w:rPr>
          <w:lang w:val="es-ES"/>
        </w:rPr>
      </w:pPr>
      <w:r>
        <w:rPr>
          <w:lang w:val="es-ES"/>
        </w:rPr>
        <w:t>8</w:t>
      </w:r>
      <w:r w:rsidR="00036E20" w:rsidRPr="00036E20">
        <w:rPr>
          <w:lang w:val="es-ES"/>
        </w:rPr>
        <w:t>.1</w:t>
      </w:r>
      <w:r w:rsidR="00036E20" w:rsidRPr="00036E20">
        <w:rPr>
          <w:lang w:val="es-ES"/>
        </w:rPr>
        <w:tab/>
        <w:t xml:space="preserve">Antes de examinar una denuncia formulada en una comunicación, el Comité de Derechos Humanos debe decidir, de </w:t>
      </w:r>
      <w:r w:rsidR="00036E20" w:rsidRPr="00FD17B2">
        <w:rPr>
          <w:lang w:val="es-ES"/>
        </w:rPr>
        <w:t>conformidad</w:t>
      </w:r>
      <w:r w:rsidR="00036E20" w:rsidRPr="00036E20">
        <w:rPr>
          <w:lang w:val="es-ES"/>
        </w:rPr>
        <w:t xml:space="preserve"> con el artículo 9</w:t>
      </w:r>
      <w:r w:rsidR="005B632D">
        <w:rPr>
          <w:lang w:val="es-ES"/>
        </w:rPr>
        <w:t>7</w:t>
      </w:r>
      <w:r w:rsidR="00036E20" w:rsidRPr="00036E20">
        <w:rPr>
          <w:lang w:val="es-ES"/>
        </w:rPr>
        <w:t xml:space="preserve"> de su reglamento, si la comunicación es admisible con arreglo al Protocolo Facultativo del Pacto.</w:t>
      </w:r>
    </w:p>
    <w:p w14:paraId="52061E73" w14:textId="77777777" w:rsidR="00036E20" w:rsidRPr="00036E20" w:rsidRDefault="007E1074" w:rsidP="009C6531">
      <w:pPr>
        <w:pStyle w:val="SingleTxtG"/>
        <w:rPr>
          <w:lang w:val="es-ES"/>
        </w:rPr>
      </w:pPr>
      <w:r>
        <w:rPr>
          <w:lang w:val="es-ES"/>
        </w:rPr>
        <w:t>8</w:t>
      </w:r>
      <w:r w:rsidR="00036E20" w:rsidRPr="00036E20">
        <w:rPr>
          <w:lang w:val="es-ES"/>
        </w:rPr>
        <w:t>.2</w:t>
      </w:r>
      <w:r w:rsidR="00036E20" w:rsidRPr="00036E20">
        <w:rPr>
          <w:lang w:val="es-ES"/>
        </w:rPr>
        <w:tab/>
        <w:t xml:space="preserve">El Comité toma nota de las alegaciones del Estado </w:t>
      </w:r>
      <w:r w:rsidR="00F7564D">
        <w:rPr>
          <w:lang w:val="es-ES"/>
        </w:rPr>
        <w:t>p</w:t>
      </w:r>
      <w:r w:rsidR="00F7564D" w:rsidRPr="00036E20">
        <w:rPr>
          <w:lang w:val="es-ES"/>
        </w:rPr>
        <w:t xml:space="preserve">arte </w:t>
      </w:r>
      <w:r w:rsidR="00036E20" w:rsidRPr="00036E20">
        <w:rPr>
          <w:lang w:val="es-ES"/>
        </w:rPr>
        <w:t xml:space="preserve">en el sentido de que el mismo asunto habría sido sometido a otro procedimiento de examen o arreglo internacional, el Tribunal Europeo de Derechos Humanos, por lo que sería aplicable la reserva formulada por España a la letra </w:t>
      </w:r>
      <w:r w:rsidR="00036E20" w:rsidRPr="00036E20">
        <w:rPr>
          <w:i/>
          <w:lang w:val="es-ES"/>
        </w:rPr>
        <w:t>a</w:t>
      </w:r>
      <w:r w:rsidR="00036E20" w:rsidRPr="00036E20">
        <w:rPr>
          <w:lang w:val="es-ES"/>
        </w:rPr>
        <w:t>) del párrafo 2 del artículo 5 del Protocolo Facultativo. El Comité recuerda su jurisprudencia en relación con el artículo 5, párrafo 2 a), del Protocolo Facultativo de que, cuando el Tribunal Europeo de Derechos Humanos basa una declaración de inadmisibilidad no solamente en razones de procedimiento, sino también en razones que incluyen en cierta medida un examen del fondo del caso, se debe considerar que el asunto ha sido examinado en el sentido de las respectivas reservas al artículo 5, párrafo 2 a), del Protocolo Facultativo</w:t>
      </w:r>
      <w:r w:rsidR="00036E20" w:rsidRPr="00036E20">
        <w:rPr>
          <w:vertAlign w:val="superscript"/>
          <w:lang w:val="es-ES"/>
        </w:rPr>
        <w:footnoteReference w:id="9"/>
      </w:r>
      <w:r w:rsidR="00036E20" w:rsidRPr="00036E20">
        <w:rPr>
          <w:lang w:val="es-ES"/>
        </w:rPr>
        <w:t xml:space="preserve">. Sin embargo, el Comité observa que, en lo que respecta a las alegaciones </w:t>
      </w:r>
      <w:r w:rsidR="00AD725D">
        <w:rPr>
          <w:lang w:val="es-ES"/>
        </w:rPr>
        <w:t>de violaciones al derecho a la vida privada y a la libertad religiosa</w:t>
      </w:r>
      <w:r w:rsidR="00036E20" w:rsidRPr="00036E20">
        <w:rPr>
          <w:lang w:val="es-ES"/>
        </w:rPr>
        <w:t xml:space="preserve">, el Tribunal Europeo no las </w:t>
      </w:r>
      <w:r w:rsidR="00036E20" w:rsidRPr="00036E20">
        <w:rPr>
          <w:i/>
          <w:lang w:val="es-ES"/>
        </w:rPr>
        <w:t>examinó</w:t>
      </w:r>
      <w:r w:rsidR="00036E20" w:rsidRPr="00036E20">
        <w:rPr>
          <w:lang w:val="es-ES"/>
        </w:rPr>
        <w:t>, sino que su decisión se basó en una cuestión estrictamente formal –la falta de agotamiento de los recursos internos-, sin entrar a examinar el fondo del asunto</w:t>
      </w:r>
      <w:r w:rsidR="00036E20" w:rsidRPr="00036E20">
        <w:rPr>
          <w:vertAlign w:val="superscript"/>
          <w:lang w:val="es-ES"/>
        </w:rPr>
        <w:footnoteReference w:id="10"/>
      </w:r>
      <w:r w:rsidR="00036E20" w:rsidRPr="00036E20">
        <w:rPr>
          <w:lang w:val="es-ES"/>
        </w:rPr>
        <w:t xml:space="preserve">. </w:t>
      </w:r>
      <w:r w:rsidR="00AD725D">
        <w:rPr>
          <w:lang w:val="es-ES"/>
        </w:rPr>
        <w:t>Por otro lado, el Comité observa que</w:t>
      </w:r>
      <w:r w:rsidR="00925B85">
        <w:rPr>
          <w:lang w:val="es-ES"/>
        </w:rPr>
        <w:t>, tras un examen sustancial de estas alegaciones,</w:t>
      </w:r>
      <w:r w:rsidR="00AD725D">
        <w:rPr>
          <w:lang w:val="es-ES"/>
        </w:rPr>
        <w:t xml:space="preserve"> el Tribunal Europeo declaró la inadmisibilidad de la alegada violación del artículo 6 del Convenio Europeo de Derechos Humanos (que se corresponde con las alegaciones presentadas bajo el artículo 14 del Pacto) por falta de sustanciación. </w:t>
      </w:r>
      <w:r w:rsidR="00036E20" w:rsidRPr="00036E20">
        <w:rPr>
          <w:lang w:val="es-ES"/>
        </w:rPr>
        <w:t>Por consiguiente, el Comité considera que</w:t>
      </w:r>
      <w:r w:rsidR="00AD725D">
        <w:rPr>
          <w:lang w:val="es-ES"/>
        </w:rPr>
        <w:t xml:space="preserve"> las alegaciones presentadas bajo el artículo 14 del Pacto son inadmisibles de acuerdo con el apartado a) del párrafo 2 del artículo 5 del Protocolo Facultativo. En relación con las alegaciones presentadas bajo los artículos 17 y 18 del Pacto,</w:t>
      </w:r>
      <w:r w:rsidR="00036E20" w:rsidRPr="00036E20">
        <w:rPr>
          <w:lang w:val="es-ES"/>
        </w:rPr>
        <w:t xml:space="preserve"> no se plantea ningún problema en relación con el apartado a) del párrafo 2 del artículo 5 del Protocolo Facultativo, tal como fue modificado en la reserva formulada por el Estado </w:t>
      </w:r>
      <w:r w:rsidR="002164E8">
        <w:rPr>
          <w:lang w:val="es-ES"/>
        </w:rPr>
        <w:t>p</w:t>
      </w:r>
      <w:r w:rsidR="00036E20" w:rsidRPr="00036E20">
        <w:rPr>
          <w:lang w:val="es-ES"/>
        </w:rPr>
        <w:t>arte.</w:t>
      </w:r>
    </w:p>
    <w:p w14:paraId="4FCB0D00" w14:textId="77777777" w:rsidR="00B15264" w:rsidRDefault="007E1074" w:rsidP="008A02E5">
      <w:pPr>
        <w:pStyle w:val="SingleTxtG"/>
        <w:rPr>
          <w:lang w:val="es-ES"/>
        </w:rPr>
      </w:pPr>
      <w:r>
        <w:rPr>
          <w:lang w:val="es-ES"/>
        </w:rPr>
        <w:t>8</w:t>
      </w:r>
      <w:r w:rsidR="00036E20" w:rsidRPr="00036E20">
        <w:rPr>
          <w:lang w:val="es-ES"/>
        </w:rPr>
        <w:t>.3</w:t>
      </w:r>
      <w:r w:rsidR="00036E20" w:rsidRPr="00036E20">
        <w:rPr>
          <w:lang w:val="es-ES"/>
        </w:rPr>
        <w:tab/>
        <w:t xml:space="preserve">El Comité toma nota igualmente de las alegaciones del Estado </w:t>
      </w:r>
      <w:r w:rsidR="002164E8">
        <w:rPr>
          <w:lang w:val="es-ES"/>
        </w:rPr>
        <w:t>p</w:t>
      </w:r>
      <w:r w:rsidR="00036E20" w:rsidRPr="00036E20">
        <w:rPr>
          <w:lang w:val="es-ES"/>
        </w:rPr>
        <w:t xml:space="preserve">arte de que los recursos internos no fueron agotados. El Comité recuerda su </w:t>
      </w:r>
      <w:r w:rsidR="00036E20" w:rsidRPr="00FD17B2">
        <w:rPr>
          <w:lang w:val="es-ES"/>
        </w:rPr>
        <w:t>jurisprudencia</w:t>
      </w:r>
      <w:r w:rsidR="00036E20" w:rsidRPr="00036E20">
        <w:rPr>
          <w:lang w:val="es-ES"/>
        </w:rPr>
        <w:t xml:space="preserve"> en el sentido de que los autores deben hacer uso de todos los recursos judiciales para cumplir la exigencia del artículo 5, párrafo 2 b), del Protocolo Facultativo, en la medida en que tales recursos parezcan ser eficaces en el caso en cuestión y estén de hecho a su disposición</w:t>
      </w:r>
      <w:r w:rsidR="00036E20" w:rsidRPr="00036E20">
        <w:rPr>
          <w:vertAlign w:val="superscript"/>
          <w:lang w:val="es-ES"/>
        </w:rPr>
        <w:footnoteReference w:id="11"/>
      </w:r>
      <w:r w:rsidR="00036E20" w:rsidRPr="00036E20">
        <w:rPr>
          <w:lang w:val="es-ES"/>
        </w:rPr>
        <w:t>. En este sentido, la autora alega la decisión de inadmisibilidad de su recurso de amparo por el Tribunal Constitucional por inexistencia de violación de un derecho fundamental implica un examen previo de los requisitos formales, incluido el agotamiento de recursos previos. El Comité observa que</w:t>
      </w:r>
      <w:r w:rsidR="00F36D6A">
        <w:rPr>
          <w:lang w:val="es-ES"/>
        </w:rPr>
        <w:t>, en su decisión de inadmisión,</w:t>
      </w:r>
      <w:r w:rsidR="00036E20" w:rsidRPr="00036E20">
        <w:rPr>
          <w:lang w:val="es-ES"/>
        </w:rPr>
        <w:t xml:space="preserve"> el Tribunal Constitucional acuerda “no admitirlo a trámite, con arreglo a lo previsto en el art. 50.1.a) LOTC, dada la manifiesta inexistencia de violación de un derecho fundamental </w:t>
      </w:r>
      <w:proofErr w:type="spellStart"/>
      <w:r w:rsidR="00036E20" w:rsidRPr="00036E20">
        <w:rPr>
          <w:lang w:val="es-ES"/>
        </w:rPr>
        <w:t>tutelable</w:t>
      </w:r>
      <w:proofErr w:type="spellEnd"/>
      <w:r w:rsidR="00036E20" w:rsidRPr="00036E20">
        <w:rPr>
          <w:lang w:val="es-ES"/>
        </w:rPr>
        <w:t xml:space="preserve"> en amparo, violación que, de acuerdo con el art. 44.1 LOTC, es condición para que este Tribunal pueda ejercer dicha tutela.” El Comité observa que esta decisión no excluye la existencia de otros motivos de inadmisibilidad. El Comité toma nota de las alegaciones del Estado </w:t>
      </w:r>
      <w:r w:rsidR="002164E8">
        <w:rPr>
          <w:lang w:val="es-ES"/>
        </w:rPr>
        <w:t>p</w:t>
      </w:r>
      <w:r w:rsidR="00036E20" w:rsidRPr="00036E20">
        <w:rPr>
          <w:lang w:val="es-ES"/>
        </w:rPr>
        <w:t>arte de que la autora, al haber interpuesto extemporáneamente el recurso de alzada, impidió que las jurisdicciones internas pudieran pronunci</w:t>
      </w:r>
      <w:r w:rsidR="00F36D6A">
        <w:rPr>
          <w:lang w:val="es-ES"/>
        </w:rPr>
        <w:t>arse sobre el fondo del asunto</w:t>
      </w:r>
      <w:r w:rsidR="00036E20" w:rsidRPr="00036E20">
        <w:rPr>
          <w:lang w:val="es-ES"/>
        </w:rPr>
        <w:t xml:space="preserve">. El Comité se remite a su jurisprudencia de que en situaciones en que el Estado </w:t>
      </w:r>
      <w:r w:rsidR="002164E8">
        <w:rPr>
          <w:lang w:val="es-ES"/>
        </w:rPr>
        <w:t>p</w:t>
      </w:r>
      <w:r w:rsidR="00036E20" w:rsidRPr="00036E20">
        <w:rPr>
          <w:lang w:val="es-ES"/>
        </w:rPr>
        <w:t xml:space="preserve">arte limita los derechos de apelación mediante determinadas exigencias procesales, tales como plazos u otras exigencias de forma, el autor debe cumplir esas exigencias antes de que se </w:t>
      </w:r>
      <w:r w:rsidR="00036E20" w:rsidRPr="00FD17B2">
        <w:rPr>
          <w:lang w:val="es-ES"/>
        </w:rPr>
        <w:t>pueda</w:t>
      </w:r>
      <w:r w:rsidR="00036E20" w:rsidRPr="00036E20">
        <w:rPr>
          <w:lang w:val="es-ES"/>
        </w:rPr>
        <w:t xml:space="preserve"> decir que ha agotado los recursos de la jurisdicción interna</w:t>
      </w:r>
      <w:r w:rsidR="00036E20" w:rsidRPr="00036E20">
        <w:rPr>
          <w:vertAlign w:val="superscript"/>
          <w:lang w:val="es-ES"/>
        </w:rPr>
        <w:footnoteReference w:id="12"/>
      </w:r>
      <w:r w:rsidR="00036E20" w:rsidRPr="00036E20">
        <w:rPr>
          <w:lang w:val="es-ES"/>
        </w:rPr>
        <w:t>.  En el presente caso,</w:t>
      </w:r>
      <w:r w:rsidR="00E05F39">
        <w:rPr>
          <w:lang w:val="es-ES"/>
        </w:rPr>
        <w:t xml:space="preserve"> </w:t>
      </w:r>
      <w:r w:rsidR="002164E8">
        <w:rPr>
          <w:lang w:val="es-ES"/>
        </w:rPr>
        <w:t xml:space="preserve">el Comité nota que, </w:t>
      </w:r>
      <w:r w:rsidR="00E05F39">
        <w:rPr>
          <w:lang w:val="es-ES"/>
        </w:rPr>
        <w:t>según el Estado</w:t>
      </w:r>
      <w:r w:rsidR="002164E8">
        <w:rPr>
          <w:lang w:val="es-ES"/>
        </w:rPr>
        <w:t>,</w:t>
      </w:r>
      <w:r w:rsidR="00E05F39">
        <w:rPr>
          <w:lang w:val="es-ES"/>
        </w:rPr>
        <w:t xml:space="preserve"> </w:t>
      </w:r>
      <w:r w:rsidR="002164E8">
        <w:rPr>
          <w:lang w:val="es-ES"/>
        </w:rPr>
        <w:t>p</w:t>
      </w:r>
      <w:r w:rsidR="00E05F39">
        <w:rPr>
          <w:lang w:val="es-ES"/>
        </w:rPr>
        <w:t>arte</w:t>
      </w:r>
      <w:r w:rsidR="00036E20" w:rsidRPr="00036E20">
        <w:rPr>
          <w:lang w:val="es-ES"/>
        </w:rPr>
        <w:t xml:space="preserve"> la autora presentó</w:t>
      </w:r>
      <w:r w:rsidR="00F36D6A">
        <w:rPr>
          <w:lang w:val="es-ES"/>
        </w:rPr>
        <w:t xml:space="preserve"> </w:t>
      </w:r>
      <w:r w:rsidR="00F36D6A">
        <w:rPr>
          <w:lang w:val="es-ES"/>
        </w:rPr>
        <w:lastRenderedPageBreak/>
        <w:t>fuera de plazo</w:t>
      </w:r>
      <w:r w:rsidR="00036E20" w:rsidRPr="00036E20">
        <w:rPr>
          <w:lang w:val="es-ES"/>
        </w:rPr>
        <w:t xml:space="preserve"> un recurso de alzada el 11 de noviembre de 2009</w:t>
      </w:r>
      <w:r w:rsidR="00F36D6A">
        <w:rPr>
          <w:lang w:val="es-ES"/>
        </w:rPr>
        <w:t>,</w:t>
      </w:r>
      <w:r w:rsidR="00036E20" w:rsidRPr="00036E20">
        <w:rPr>
          <w:lang w:val="es-ES"/>
        </w:rPr>
        <w:t xml:space="preserve"> ya que el plazo era de cinco días a partir de los hechos, que, según la autora, habían tenido lugar a finales de octubre. </w:t>
      </w:r>
    </w:p>
    <w:p w14:paraId="3BBE9011" w14:textId="2D75CCF7" w:rsidR="00B15264" w:rsidRPr="007918A1" w:rsidRDefault="007E1074" w:rsidP="008A02E5">
      <w:pPr>
        <w:pStyle w:val="SingleTxtG"/>
        <w:rPr>
          <w:lang w:val="es-ES"/>
        </w:rPr>
      </w:pPr>
      <w:r>
        <w:rPr>
          <w:lang w:val="es-ES"/>
        </w:rPr>
        <w:t>8</w:t>
      </w:r>
      <w:r w:rsidR="00B15264">
        <w:rPr>
          <w:lang w:val="es-ES"/>
        </w:rPr>
        <w:t>.4</w:t>
      </w:r>
      <w:r w:rsidR="00B15264">
        <w:rPr>
          <w:lang w:val="es-ES"/>
        </w:rPr>
        <w:tab/>
        <w:t xml:space="preserve">El Comité toma nota de que </w:t>
      </w:r>
      <w:r w:rsidR="00E05F39">
        <w:rPr>
          <w:lang w:val="es-ES"/>
        </w:rPr>
        <w:t xml:space="preserve">la autora considera que el Tribunal Supremo y la Audiencia Nacional </w:t>
      </w:r>
      <w:r w:rsidR="00895F4A">
        <w:rPr>
          <w:lang w:val="es-ES"/>
        </w:rPr>
        <w:t>actuaron</w:t>
      </w:r>
      <w:r w:rsidR="00667870" w:rsidRPr="00667870">
        <w:rPr>
          <w:lang w:val="es-ES"/>
        </w:rPr>
        <w:t xml:space="preserve"> de forma abusiva e ilegítima al considerar que la naturaleza de la decisión verbal del Juez tomada el 22 de octubre de 2009 era disciplinaria y por tanto jurisdiccional</w:t>
      </w:r>
      <w:r w:rsidR="00CC0064">
        <w:rPr>
          <w:lang w:val="es-ES"/>
        </w:rPr>
        <w:t xml:space="preserve">, y que ello </w:t>
      </w:r>
      <w:r w:rsidR="00E05F39">
        <w:rPr>
          <w:lang w:val="es-ES"/>
        </w:rPr>
        <w:t>reducía</w:t>
      </w:r>
      <w:r w:rsidR="00CC0064">
        <w:rPr>
          <w:lang w:val="es-ES"/>
        </w:rPr>
        <w:t xml:space="preserve"> el plazo en que debía presentar un recurso de alzada</w:t>
      </w:r>
      <w:r w:rsidR="00E05F39">
        <w:rPr>
          <w:lang w:val="es-ES"/>
        </w:rPr>
        <w:t>, única razón por la que su recurso fue inadmitido</w:t>
      </w:r>
      <w:r w:rsidR="00667870" w:rsidRPr="00667870">
        <w:rPr>
          <w:lang w:val="es-ES"/>
        </w:rPr>
        <w:t xml:space="preserve">. </w:t>
      </w:r>
      <w:r w:rsidR="007918A1" w:rsidRPr="00FC1BBD">
        <w:rPr>
          <w:lang w:val="es-ES"/>
        </w:rPr>
        <w:t xml:space="preserve">El Comité </w:t>
      </w:r>
      <w:r w:rsidR="00CC0064" w:rsidRPr="00FC1BBD">
        <w:rPr>
          <w:lang w:val="es-ES"/>
        </w:rPr>
        <w:t>observa que</w:t>
      </w:r>
      <w:r w:rsidR="007918A1" w:rsidRPr="00FC1BBD">
        <w:rPr>
          <w:lang w:val="es-ES"/>
        </w:rPr>
        <w:t xml:space="preserve"> las alegaciones </w:t>
      </w:r>
      <w:r w:rsidR="00CC0064" w:rsidRPr="00FC1BBD">
        <w:rPr>
          <w:lang w:val="es-ES"/>
        </w:rPr>
        <w:t xml:space="preserve">de la autora en relación con la calificación de la decisión verbal del juez </w:t>
      </w:r>
      <w:r w:rsidR="007918A1" w:rsidRPr="00FC1BBD">
        <w:rPr>
          <w:lang w:val="es-ES"/>
        </w:rPr>
        <w:t>son esencialmente de tal naturaleza que se está pidiendo al Comité que vuelva a evaluar los hechos y la interpretación del derecho interno</w:t>
      </w:r>
      <w:r w:rsidR="00CC0064" w:rsidRPr="00FC1BBD">
        <w:rPr>
          <w:lang w:val="es-ES"/>
        </w:rPr>
        <w:t xml:space="preserve"> </w:t>
      </w:r>
      <w:r w:rsidR="00E05F39">
        <w:rPr>
          <w:lang w:val="es-ES"/>
        </w:rPr>
        <w:t>sobre</w:t>
      </w:r>
      <w:r w:rsidR="007918A1" w:rsidRPr="00FC1BBD">
        <w:rPr>
          <w:lang w:val="es-ES"/>
        </w:rPr>
        <w:t xml:space="preserve"> los que </w:t>
      </w:r>
      <w:r w:rsidR="00E05F39">
        <w:rPr>
          <w:lang w:val="es-ES"/>
        </w:rPr>
        <w:t>dos instancias judiciales nacionales</w:t>
      </w:r>
      <w:r w:rsidR="00CC0064">
        <w:rPr>
          <w:lang w:val="es-ES"/>
        </w:rPr>
        <w:t xml:space="preserve">, </w:t>
      </w:r>
      <w:r w:rsidR="00E05F39">
        <w:rPr>
          <w:lang w:val="es-ES"/>
        </w:rPr>
        <w:t xml:space="preserve">el Tribunal Supremo y </w:t>
      </w:r>
      <w:r w:rsidR="00CC0064">
        <w:rPr>
          <w:lang w:val="es-ES"/>
        </w:rPr>
        <w:t>la Audiencia Nacional,</w:t>
      </w:r>
      <w:r w:rsidR="007918A1" w:rsidRPr="007918A1">
        <w:rPr>
          <w:lang w:val="es-ES"/>
        </w:rPr>
        <w:t xml:space="preserve"> </w:t>
      </w:r>
      <w:r w:rsidR="00E05F39">
        <w:rPr>
          <w:lang w:val="es-ES"/>
        </w:rPr>
        <w:t xml:space="preserve">basaron su decisión </w:t>
      </w:r>
      <w:r w:rsidR="007918A1" w:rsidRPr="007918A1">
        <w:rPr>
          <w:lang w:val="es-ES"/>
        </w:rPr>
        <w:t>y que, por lo tanto, exceda los límites de su mandato.</w:t>
      </w:r>
      <w:r w:rsidR="00CC0064" w:rsidRPr="00CC0064">
        <w:rPr>
          <w:rFonts w:eastAsia="Times New Roman"/>
          <w:lang w:val="es-ES" w:eastAsia="es-ES"/>
        </w:rPr>
        <w:t xml:space="preserve"> </w:t>
      </w:r>
      <w:r w:rsidR="00E05F39" w:rsidRPr="007918A1">
        <w:rPr>
          <w:lang w:val="es-CL"/>
        </w:rPr>
        <w:t>El Comité recuerda que, según su reiterada jurisprudencia, la valoración de hechos y pruebas</w:t>
      </w:r>
      <w:r w:rsidR="00E05F39">
        <w:rPr>
          <w:lang w:val="es-CL"/>
        </w:rPr>
        <w:t xml:space="preserve"> y la interpretación de la legislación nacional</w:t>
      </w:r>
      <w:r w:rsidR="00E05F39" w:rsidRPr="007918A1">
        <w:rPr>
          <w:lang w:val="es-CL"/>
        </w:rPr>
        <w:t xml:space="preserve"> es una cuestión que corresponde, en principio, a los tribunales nacionales</w:t>
      </w:r>
      <w:r w:rsidR="00E05F39" w:rsidRPr="00FC1BBD">
        <w:rPr>
          <w:lang w:val="es-CL"/>
        </w:rPr>
        <w:t>, a menos que fuera manifiestamente arbitraria o constituyera una denegación de justicia</w:t>
      </w:r>
      <w:r w:rsidR="00E05F39" w:rsidRPr="00FC1BBD">
        <w:rPr>
          <w:vertAlign w:val="superscript"/>
          <w:lang w:val="es-CL"/>
        </w:rPr>
        <w:footnoteReference w:id="13"/>
      </w:r>
      <w:r w:rsidR="00E05F39" w:rsidRPr="00FC1BBD">
        <w:rPr>
          <w:lang w:val="es-CL"/>
        </w:rPr>
        <w:t xml:space="preserve">. </w:t>
      </w:r>
      <w:r w:rsidR="00CC0064" w:rsidRPr="00CC0064">
        <w:rPr>
          <w:lang w:val="es-ES"/>
        </w:rPr>
        <w:t xml:space="preserve">En vista de la documentación que tiene ante sí, el Comité considera que </w:t>
      </w:r>
      <w:r w:rsidR="00CC0064">
        <w:rPr>
          <w:lang w:val="es-ES"/>
        </w:rPr>
        <w:t>la autora</w:t>
      </w:r>
      <w:r w:rsidR="00CC0064" w:rsidRPr="00CC0064">
        <w:rPr>
          <w:lang w:val="es-ES"/>
        </w:rPr>
        <w:t xml:space="preserve"> no ha demostrado ninguna irregularidad en el proceso de adopción de decisiones ni la existencia de ningún factor que las autoridades del Estado parte no hayan tenido en cuenta al evaluar sus reclamaciones. Aunque </w:t>
      </w:r>
      <w:r w:rsidR="00CC0064">
        <w:rPr>
          <w:lang w:val="es-ES"/>
        </w:rPr>
        <w:t>la autora</w:t>
      </w:r>
      <w:r w:rsidR="00CC0064" w:rsidRPr="00CC0064">
        <w:rPr>
          <w:lang w:val="es-ES"/>
        </w:rPr>
        <w:t xml:space="preserve"> no está de acuerdo con </w:t>
      </w:r>
      <w:r w:rsidR="00CC0064">
        <w:rPr>
          <w:lang w:val="es-ES"/>
        </w:rPr>
        <w:t>la calificación de la decisión verbal</w:t>
      </w:r>
      <w:r w:rsidR="00CC0064" w:rsidRPr="00CC0064">
        <w:rPr>
          <w:lang w:val="es-ES"/>
        </w:rPr>
        <w:t xml:space="preserve"> de las autoridades del Estado parte, no ha demostrado que esas conclusiones fueran claramente arbitrarias o que equivalieran a una manifiesta denegación de justicia. </w:t>
      </w:r>
      <w:r w:rsidR="002D17D0">
        <w:rPr>
          <w:lang w:val="es-ES"/>
        </w:rPr>
        <w:t xml:space="preserve">El Comité toma nota de que el Tribunal Europeo de Derechos Humanos, en su decisión de 26 de abril de 2016, llegó a la misma conclusión.  </w:t>
      </w:r>
      <w:r w:rsidR="002D17D0" w:rsidRPr="002D17D0">
        <w:rPr>
          <w:lang w:val="es-ES"/>
        </w:rPr>
        <w:t xml:space="preserve">En el presente caso, el Comité considera que la información proporcionada por las partes al Comité no contiene elementos suficientes para contradecir esas conclusiones y, por lo tanto, no puede llevar al Comité a la conclusión de que </w:t>
      </w:r>
      <w:r w:rsidR="002D17D0">
        <w:rPr>
          <w:lang w:val="es-ES"/>
        </w:rPr>
        <w:t>las decisiones de las autoridades</w:t>
      </w:r>
      <w:r w:rsidR="0084271D">
        <w:rPr>
          <w:lang w:val="es-ES"/>
        </w:rPr>
        <w:t xml:space="preserve"> españolas</w:t>
      </w:r>
      <w:r w:rsidR="002D17D0">
        <w:rPr>
          <w:lang w:val="es-ES"/>
        </w:rPr>
        <w:t xml:space="preserve"> fueran arbitrarias o que equivalieran a una manifiesta denegación de justicia. </w:t>
      </w:r>
    </w:p>
    <w:p w14:paraId="18A9B891" w14:textId="3FF649E9" w:rsidR="00036E20" w:rsidRPr="00036E20" w:rsidRDefault="00AD5E81" w:rsidP="008A02E5">
      <w:pPr>
        <w:pStyle w:val="SingleTxtG"/>
        <w:rPr>
          <w:lang w:val="es-ES"/>
        </w:rPr>
      </w:pPr>
      <w:r>
        <w:rPr>
          <w:lang w:val="es-ES"/>
        </w:rPr>
        <w:t>8</w:t>
      </w:r>
      <w:r w:rsidR="00FC1BBD">
        <w:rPr>
          <w:lang w:val="es-ES"/>
        </w:rPr>
        <w:t>.5</w:t>
      </w:r>
      <w:r w:rsidR="00FC1BBD">
        <w:rPr>
          <w:lang w:val="es-ES"/>
        </w:rPr>
        <w:tab/>
        <w:t xml:space="preserve">Habiendo encontrado que no existe arbitrariedad ni denegación de justicia en la </w:t>
      </w:r>
      <w:r w:rsidR="00E05F39">
        <w:rPr>
          <w:lang w:val="es-ES"/>
        </w:rPr>
        <w:t>inadmisión</w:t>
      </w:r>
      <w:r w:rsidR="00FC1BBD">
        <w:rPr>
          <w:lang w:val="es-ES"/>
        </w:rPr>
        <w:t xml:space="preserve"> del recurso de alzada de la autora por haberse presentado fuera de plazo</w:t>
      </w:r>
      <w:r w:rsidR="002164E8">
        <w:rPr>
          <w:lang w:val="es-ES"/>
        </w:rPr>
        <w:t xml:space="preserve">, </w:t>
      </w:r>
      <w:r w:rsidR="00FC1BBD">
        <w:rPr>
          <w:lang w:val="es-ES"/>
        </w:rPr>
        <w:t>el Comité concluye que e</w:t>
      </w:r>
      <w:r w:rsidR="00036E20" w:rsidRPr="00036E20">
        <w:rPr>
          <w:lang w:val="es-ES"/>
        </w:rPr>
        <w:t>l resultado de la con</w:t>
      </w:r>
      <w:r w:rsidR="004D4FC8">
        <w:rPr>
          <w:lang w:val="es-ES"/>
        </w:rPr>
        <w:t>ducta de la autora es que la Sala de Gobierno de la Audiencia Nacional se vio privada</w:t>
      </w:r>
      <w:r w:rsidR="00036E20" w:rsidRPr="00036E20">
        <w:rPr>
          <w:lang w:val="es-ES"/>
        </w:rPr>
        <w:t xml:space="preserve"> de la posibilidad de examinar </w:t>
      </w:r>
      <w:r w:rsidR="00FC1BBD">
        <w:rPr>
          <w:lang w:val="es-ES"/>
        </w:rPr>
        <w:t>el fondo de</w:t>
      </w:r>
      <w:r w:rsidR="004D4FC8">
        <w:rPr>
          <w:lang w:val="es-ES"/>
        </w:rPr>
        <w:t xml:space="preserve"> la apelación.</w:t>
      </w:r>
      <w:r w:rsidR="00036E20" w:rsidRPr="00036E20">
        <w:rPr>
          <w:lang w:val="es-ES"/>
        </w:rPr>
        <w:t xml:space="preserve"> Por lo tanto, </w:t>
      </w:r>
      <w:r w:rsidR="00FC1BBD">
        <w:rPr>
          <w:lang w:val="es-ES"/>
        </w:rPr>
        <w:t>la autora</w:t>
      </w:r>
      <w:r w:rsidR="00036E20" w:rsidRPr="00036E20">
        <w:rPr>
          <w:lang w:val="es-ES"/>
        </w:rPr>
        <w:t xml:space="preserve"> no ha agotado los recursos de la jurisdicción interna y </w:t>
      </w:r>
      <w:r w:rsidR="000D0F37">
        <w:rPr>
          <w:lang w:val="es-ES"/>
        </w:rPr>
        <w:t>las alegaciones referidas a los artículos 17 y 18 del Pacto son por tanto</w:t>
      </w:r>
      <w:r w:rsidR="00036E20" w:rsidRPr="00036E20">
        <w:rPr>
          <w:lang w:val="es-ES"/>
        </w:rPr>
        <w:t xml:space="preserve"> inadmisible</w:t>
      </w:r>
      <w:r w:rsidR="000D0F37">
        <w:rPr>
          <w:lang w:val="es-ES"/>
        </w:rPr>
        <w:t>s</w:t>
      </w:r>
      <w:r w:rsidR="00036E20" w:rsidRPr="00036E20">
        <w:rPr>
          <w:lang w:val="es-ES"/>
        </w:rPr>
        <w:t xml:space="preserve"> conforme al apartado b) del párrafo 2 del artículo 5 del Protocolo Facultativo.</w:t>
      </w:r>
    </w:p>
    <w:p w14:paraId="421A44BA" w14:textId="77777777" w:rsidR="006F66F1" w:rsidRPr="006F66F1" w:rsidRDefault="00AD5E81" w:rsidP="00130920">
      <w:pPr>
        <w:pStyle w:val="SingleTxtG"/>
        <w:keepNext/>
        <w:keepLines/>
        <w:rPr>
          <w:lang w:val="es-ES"/>
        </w:rPr>
      </w:pPr>
      <w:r>
        <w:rPr>
          <w:lang w:val="es-ES"/>
        </w:rPr>
        <w:t>9</w:t>
      </w:r>
      <w:r w:rsidR="006F66F1" w:rsidRPr="006F66F1">
        <w:rPr>
          <w:lang w:val="es-ES"/>
        </w:rPr>
        <w:t>.</w:t>
      </w:r>
      <w:r w:rsidR="006F66F1" w:rsidRPr="006F66F1">
        <w:rPr>
          <w:lang w:val="es-ES"/>
        </w:rPr>
        <w:tab/>
        <w:t xml:space="preserve">Por lo </w:t>
      </w:r>
      <w:r w:rsidR="006F66F1" w:rsidRPr="00FD17B2">
        <w:rPr>
          <w:lang w:val="es-ES"/>
        </w:rPr>
        <w:t>tanto</w:t>
      </w:r>
      <w:r w:rsidR="006F66F1" w:rsidRPr="006F66F1">
        <w:rPr>
          <w:lang w:val="es-ES"/>
        </w:rPr>
        <w:t xml:space="preserve">, el Comité de Derechos Humanos decide: </w:t>
      </w:r>
    </w:p>
    <w:p w14:paraId="04CB7A4D" w14:textId="4D978D84" w:rsidR="006F66F1" w:rsidRPr="006F66F1" w:rsidRDefault="008A0BFE" w:rsidP="008A02E5">
      <w:pPr>
        <w:pStyle w:val="SingleTxtG"/>
        <w:rPr>
          <w:lang w:val="es-ES"/>
        </w:rPr>
      </w:pPr>
      <w:r>
        <w:rPr>
          <w:lang w:val="es-ES"/>
        </w:rPr>
        <w:tab/>
      </w:r>
      <w:r w:rsidR="006F66F1" w:rsidRPr="006F66F1">
        <w:rPr>
          <w:lang w:val="es-ES"/>
        </w:rPr>
        <w:tab/>
        <w:t>a)</w:t>
      </w:r>
      <w:r w:rsidR="006F66F1" w:rsidRPr="006F66F1">
        <w:rPr>
          <w:lang w:val="es-ES"/>
        </w:rPr>
        <w:tab/>
        <w:t xml:space="preserve">Que la </w:t>
      </w:r>
      <w:r w:rsidR="006F66F1" w:rsidRPr="00FD17B2">
        <w:rPr>
          <w:lang w:val="es-ES"/>
        </w:rPr>
        <w:t>comunicación</w:t>
      </w:r>
      <w:r w:rsidR="006F66F1" w:rsidRPr="006F66F1">
        <w:rPr>
          <w:lang w:val="es-ES"/>
        </w:rPr>
        <w:t xml:space="preserve"> es inadmisible en virtud </w:t>
      </w:r>
      <w:r w:rsidR="002806A4">
        <w:rPr>
          <w:lang w:val="es-ES"/>
        </w:rPr>
        <w:t>del artículo</w:t>
      </w:r>
      <w:r w:rsidR="004B3C66">
        <w:rPr>
          <w:lang w:val="es-ES"/>
        </w:rPr>
        <w:t xml:space="preserve"> </w:t>
      </w:r>
      <w:r w:rsidR="006F66F1" w:rsidRPr="006F66F1">
        <w:rPr>
          <w:lang w:val="es-ES"/>
        </w:rPr>
        <w:t>5, párrafo</w:t>
      </w:r>
      <w:r w:rsidR="002806A4">
        <w:rPr>
          <w:lang w:val="es-ES"/>
        </w:rPr>
        <w:t>s</w:t>
      </w:r>
      <w:r w:rsidR="00130920">
        <w:rPr>
          <w:lang w:val="es-ES"/>
        </w:rPr>
        <w:t> </w:t>
      </w:r>
      <w:r w:rsidR="006F66F1" w:rsidRPr="006F66F1">
        <w:rPr>
          <w:lang w:val="es-ES"/>
        </w:rPr>
        <w:t>2</w:t>
      </w:r>
      <w:r w:rsidR="002806A4">
        <w:rPr>
          <w:lang w:val="es-ES"/>
        </w:rPr>
        <w:t xml:space="preserve"> a) y</w:t>
      </w:r>
      <w:r w:rsidR="00570949">
        <w:rPr>
          <w:lang w:val="es-ES"/>
        </w:rPr>
        <w:t> </w:t>
      </w:r>
      <w:r w:rsidR="006F66F1" w:rsidRPr="006F66F1">
        <w:rPr>
          <w:lang w:val="es-ES"/>
        </w:rPr>
        <w:t xml:space="preserve">b), del Protocolo Facultativo; </w:t>
      </w:r>
    </w:p>
    <w:p w14:paraId="0D1F9093" w14:textId="5E78F0AC" w:rsidR="001D6481" w:rsidRPr="00574B4D" w:rsidRDefault="008A0BFE" w:rsidP="008A02E5">
      <w:pPr>
        <w:pStyle w:val="SingleTxtG"/>
        <w:rPr>
          <w:spacing w:val="-2"/>
          <w:lang w:val="es-ES"/>
        </w:rPr>
      </w:pPr>
      <w:r>
        <w:rPr>
          <w:lang w:val="es-ES"/>
        </w:rPr>
        <w:tab/>
      </w:r>
      <w:r w:rsidR="009F4618">
        <w:rPr>
          <w:lang w:val="es-ES"/>
        </w:rPr>
        <w:tab/>
      </w:r>
      <w:r w:rsidR="006F66F1" w:rsidRPr="00574B4D">
        <w:rPr>
          <w:spacing w:val="-2"/>
          <w:lang w:val="es-ES"/>
        </w:rPr>
        <w:t>b)</w:t>
      </w:r>
      <w:r w:rsidR="006F66F1" w:rsidRPr="00574B4D">
        <w:rPr>
          <w:spacing w:val="-2"/>
          <w:lang w:val="es-ES"/>
        </w:rPr>
        <w:tab/>
        <w:t>Que la presente decisión se ponga en conocimiento del Estado parte y de</w:t>
      </w:r>
      <w:r w:rsidR="00FC1BBD" w:rsidRPr="00574B4D">
        <w:rPr>
          <w:spacing w:val="-2"/>
          <w:lang w:val="es-ES"/>
        </w:rPr>
        <w:t xml:space="preserve"> </w:t>
      </w:r>
      <w:r w:rsidR="006F66F1" w:rsidRPr="00574B4D">
        <w:rPr>
          <w:spacing w:val="-2"/>
          <w:lang w:val="es-ES"/>
        </w:rPr>
        <w:t>l</w:t>
      </w:r>
      <w:r w:rsidR="00FC1BBD" w:rsidRPr="00574B4D">
        <w:rPr>
          <w:spacing w:val="-2"/>
          <w:lang w:val="es-ES"/>
        </w:rPr>
        <w:t>a</w:t>
      </w:r>
      <w:r w:rsidR="006F66F1" w:rsidRPr="00574B4D">
        <w:rPr>
          <w:spacing w:val="-2"/>
          <w:lang w:val="es-ES"/>
        </w:rPr>
        <w:t xml:space="preserve"> autor</w:t>
      </w:r>
      <w:r w:rsidR="00FC1BBD" w:rsidRPr="00574B4D">
        <w:rPr>
          <w:spacing w:val="-2"/>
          <w:lang w:val="es-ES"/>
        </w:rPr>
        <w:t>a</w:t>
      </w:r>
      <w:r w:rsidR="006F66F1" w:rsidRPr="00574B4D">
        <w:rPr>
          <w:spacing w:val="-2"/>
          <w:lang w:val="es-ES"/>
        </w:rPr>
        <w:t>.</w:t>
      </w:r>
    </w:p>
    <w:p w14:paraId="0EFA1E83" w14:textId="425166C2" w:rsidR="00130920" w:rsidRPr="00130920" w:rsidRDefault="00130920" w:rsidP="00130920">
      <w:pPr>
        <w:pStyle w:val="SingleTxtG"/>
        <w:spacing w:before="240" w:after="0"/>
        <w:jc w:val="center"/>
        <w:rPr>
          <w:u w:val="single"/>
          <w:lang w:val="es-ES"/>
        </w:rPr>
      </w:pPr>
      <w:r>
        <w:rPr>
          <w:u w:val="single"/>
          <w:lang w:val="es-ES"/>
        </w:rPr>
        <w:tab/>
      </w:r>
      <w:r>
        <w:rPr>
          <w:u w:val="single"/>
          <w:lang w:val="es-ES"/>
        </w:rPr>
        <w:tab/>
      </w:r>
      <w:r>
        <w:rPr>
          <w:u w:val="single"/>
          <w:lang w:val="es-ES"/>
        </w:rPr>
        <w:tab/>
      </w:r>
      <w:r w:rsidR="00FE3737">
        <w:rPr>
          <w:u w:val="single"/>
          <w:lang w:val="es-ES"/>
        </w:rPr>
        <w:tab/>
      </w:r>
    </w:p>
    <w:sectPr w:rsidR="00130920" w:rsidRPr="00130920" w:rsidSect="00F603F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15D82" w14:textId="77777777" w:rsidR="009667CF" w:rsidRPr="00B903E5" w:rsidRDefault="009667CF" w:rsidP="00B903E5">
      <w:pPr>
        <w:pStyle w:val="Footer"/>
      </w:pPr>
    </w:p>
  </w:endnote>
  <w:endnote w:type="continuationSeparator" w:id="0">
    <w:p w14:paraId="57F9355D" w14:textId="77777777" w:rsidR="009667CF" w:rsidRPr="00B903E5" w:rsidRDefault="009667C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ED4A" w14:textId="415B4E37" w:rsidR="007918A1" w:rsidRPr="006A31AE" w:rsidRDefault="007918A1"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C22E27">
      <w:rPr>
        <w:b/>
        <w:noProof/>
        <w:sz w:val="18"/>
      </w:rPr>
      <w:t>4</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CCB9" w14:textId="03032F43" w:rsidR="007918A1" w:rsidRPr="006A31AE" w:rsidRDefault="007918A1"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C22E27">
      <w:rPr>
        <w:b/>
        <w:noProof/>
        <w:sz w:val="18"/>
      </w:rPr>
      <w:t>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F6DD" w14:textId="1978F07F" w:rsidR="007918A1" w:rsidRPr="00CA7723" w:rsidRDefault="00CA7723" w:rsidP="00CA7723">
    <w:pPr>
      <w:pStyle w:val="Footer"/>
      <w:spacing w:before="120"/>
      <w:rPr>
        <w:sz w:val="20"/>
      </w:rPr>
    </w:pPr>
    <w:r w:rsidRPr="00CA7723">
      <w:rPr>
        <w:rFonts w:ascii="C39T30Lfz" w:hAnsi="C39T30Lfz"/>
        <w:noProof/>
        <w:sz w:val="56"/>
        <w:lang w:eastAsia="en-GB"/>
      </w:rPr>
      <w:drawing>
        <wp:anchor distT="0" distB="0" distL="114300" distR="114300" simplePos="0" relativeHeight="251660288" behindDoc="0" locked="1" layoutInCell="1" allowOverlap="1" wp14:anchorId="303B0E25" wp14:editId="649A66AC">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14:anchorId="0AED5542" wp14:editId="6BCC754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CPR/C/127/DR/3085/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R/3085/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3071" w14:textId="77777777" w:rsidR="009667CF" w:rsidRPr="00B903E5" w:rsidRDefault="009667CF" w:rsidP="00B903E5">
      <w:pPr>
        <w:tabs>
          <w:tab w:val="right" w:pos="2155"/>
        </w:tabs>
        <w:spacing w:after="80" w:line="240" w:lineRule="auto"/>
        <w:ind w:left="680"/>
      </w:pPr>
      <w:r>
        <w:rPr>
          <w:u w:val="single"/>
        </w:rPr>
        <w:tab/>
      </w:r>
    </w:p>
  </w:footnote>
  <w:footnote w:type="continuationSeparator" w:id="0">
    <w:p w14:paraId="169563F7" w14:textId="77777777" w:rsidR="009667CF" w:rsidRPr="00B903E5" w:rsidRDefault="009667CF" w:rsidP="00B903E5">
      <w:pPr>
        <w:tabs>
          <w:tab w:val="right" w:pos="2155"/>
        </w:tabs>
        <w:spacing w:after="80" w:line="240" w:lineRule="auto"/>
        <w:ind w:left="680"/>
      </w:pPr>
      <w:r>
        <w:rPr>
          <w:u w:val="single"/>
        </w:rPr>
        <w:tab/>
      </w:r>
    </w:p>
  </w:footnote>
  <w:footnote w:id="1">
    <w:p w14:paraId="63CCC22A" w14:textId="20DCF388" w:rsidR="007E753F" w:rsidRPr="007E753F" w:rsidRDefault="007E753F">
      <w:pPr>
        <w:pStyle w:val="FootnoteText"/>
      </w:pPr>
      <w:r>
        <w:rPr>
          <w:rStyle w:val="FootnoteReference"/>
        </w:rPr>
        <w:tab/>
      </w:r>
      <w:r w:rsidRPr="007E753F">
        <w:rPr>
          <w:rStyle w:val="FootnoteReference"/>
          <w:sz w:val="20"/>
          <w:vertAlign w:val="baseline"/>
        </w:rPr>
        <w:t>*</w:t>
      </w:r>
      <w:r>
        <w:rPr>
          <w:rStyle w:val="FootnoteReference"/>
          <w:sz w:val="20"/>
          <w:vertAlign w:val="baseline"/>
        </w:rPr>
        <w:tab/>
      </w:r>
      <w:proofErr w:type="spellStart"/>
      <w:r w:rsidRPr="007428F4">
        <w:t>Adoptado</w:t>
      </w:r>
      <w:proofErr w:type="spellEnd"/>
      <w:r w:rsidRPr="007428F4">
        <w:t xml:space="preserve"> </w:t>
      </w:r>
      <w:proofErr w:type="spellStart"/>
      <w:r w:rsidRPr="007428F4">
        <w:t>por</w:t>
      </w:r>
      <w:proofErr w:type="spellEnd"/>
      <w:r w:rsidRPr="007428F4">
        <w:t xml:space="preserve"> el </w:t>
      </w:r>
      <w:proofErr w:type="spellStart"/>
      <w:r w:rsidRPr="007428F4">
        <w:t>Comité</w:t>
      </w:r>
      <w:proofErr w:type="spellEnd"/>
      <w:r w:rsidRPr="007428F4">
        <w:t xml:space="preserve"> </w:t>
      </w:r>
      <w:proofErr w:type="spellStart"/>
      <w:r w:rsidRPr="007428F4">
        <w:t>en</w:t>
      </w:r>
      <w:proofErr w:type="spellEnd"/>
      <w:r w:rsidRPr="007428F4">
        <w:t xml:space="preserve"> </w:t>
      </w:r>
      <w:proofErr w:type="spellStart"/>
      <w:r w:rsidRPr="007428F4">
        <w:t>su</w:t>
      </w:r>
      <w:proofErr w:type="spellEnd"/>
      <w:r w:rsidRPr="007428F4">
        <w:t xml:space="preserve"> 127° </w:t>
      </w:r>
      <w:proofErr w:type="spellStart"/>
      <w:r w:rsidRPr="007428F4">
        <w:t>período</w:t>
      </w:r>
      <w:proofErr w:type="spellEnd"/>
      <w:r w:rsidRPr="007428F4">
        <w:t xml:space="preserve"> de </w:t>
      </w:r>
      <w:proofErr w:type="spellStart"/>
      <w:r w:rsidRPr="007428F4">
        <w:t>sesiones</w:t>
      </w:r>
      <w:proofErr w:type="spellEnd"/>
      <w:r w:rsidRPr="007428F4">
        <w:t xml:space="preserve"> (</w:t>
      </w:r>
      <w:r>
        <w:t xml:space="preserve">14 de </w:t>
      </w:r>
      <w:proofErr w:type="spellStart"/>
      <w:r>
        <w:t>octubre</w:t>
      </w:r>
      <w:proofErr w:type="spellEnd"/>
      <w:r>
        <w:t xml:space="preserve"> a 8 de </w:t>
      </w:r>
      <w:proofErr w:type="spellStart"/>
      <w:r>
        <w:t>noviembre</w:t>
      </w:r>
      <w:proofErr w:type="spellEnd"/>
      <w:r w:rsidRPr="00695280">
        <w:t xml:space="preserve"> de 2019</w:t>
      </w:r>
      <w:r>
        <w:t>)</w:t>
      </w:r>
      <w:proofErr w:type="gramStart"/>
      <w:r>
        <w:t>.</w:t>
      </w:r>
      <w:r w:rsidRPr="00C76D9E">
        <w:t>.</w:t>
      </w:r>
      <w:proofErr w:type="gramEnd"/>
    </w:p>
  </w:footnote>
  <w:footnote w:id="2">
    <w:p w14:paraId="40FB0B3A" w14:textId="77777777" w:rsidR="007E753F" w:rsidRPr="00C91EFD" w:rsidRDefault="007E753F" w:rsidP="007E753F">
      <w:pPr>
        <w:pStyle w:val="FootnoteText"/>
      </w:pPr>
      <w:r>
        <w:rPr>
          <w:rStyle w:val="FootnoteReference"/>
        </w:rPr>
        <w:tab/>
      </w:r>
      <w:r w:rsidRPr="007E753F">
        <w:rPr>
          <w:rStyle w:val="FootnoteReference"/>
          <w:sz w:val="20"/>
          <w:vertAlign w:val="baseline"/>
        </w:rPr>
        <w:t>**</w:t>
      </w:r>
      <w:r>
        <w:rPr>
          <w:rStyle w:val="FootnoteReference"/>
          <w:sz w:val="20"/>
          <w:vertAlign w:val="baseline"/>
        </w:rPr>
        <w:tab/>
      </w:r>
      <w:r w:rsidRPr="0084171B">
        <w:t xml:space="preserve">Los </w:t>
      </w:r>
      <w:proofErr w:type="spellStart"/>
      <w:r w:rsidRPr="0084171B">
        <w:t>siguientes</w:t>
      </w:r>
      <w:proofErr w:type="spellEnd"/>
      <w:r w:rsidRPr="0084171B">
        <w:t xml:space="preserve"> </w:t>
      </w:r>
      <w:proofErr w:type="spellStart"/>
      <w:r w:rsidRPr="0084171B">
        <w:t>miembros</w:t>
      </w:r>
      <w:proofErr w:type="spellEnd"/>
      <w:r w:rsidRPr="0084171B">
        <w:t xml:space="preserve"> del </w:t>
      </w:r>
      <w:proofErr w:type="spellStart"/>
      <w:r>
        <w:t>Comité</w:t>
      </w:r>
      <w:proofErr w:type="spellEnd"/>
      <w:r w:rsidRPr="0084171B">
        <w:t xml:space="preserve"> </w:t>
      </w:r>
      <w:proofErr w:type="spellStart"/>
      <w:r w:rsidRPr="0084171B">
        <w:t>participaron</w:t>
      </w:r>
      <w:proofErr w:type="spellEnd"/>
      <w:r w:rsidRPr="0084171B">
        <w:t xml:space="preserve"> </w:t>
      </w:r>
      <w:proofErr w:type="spellStart"/>
      <w:r w:rsidRPr="0084171B">
        <w:t>en</w:t>
      </w:r>
      <w:proofErr w:type="spellEnd"/>
      <w:r w:rsidRPr="0084171B">
        <w:t xml:space="preserve"> el </w:t>
      </w:r>
      <w:proofErr w:type="spellStart"/>
      <w:r w:rsidRPr="0084171B">
        <w:t>examen</w:t>
      </w:r>
      <w:proofErr w:type="spellEnd"/>
      <w:r w:rsidRPr="0084171B">
        <w:t xml:space="preserve"> de la </w:t>
      </w:r>
      <w:proofErr w:type="spellStart"/>
      <w:r w:rsidRPr="0084171B">
        <w:t>presente</w:t>
      </w:r>
      <w:proofErr w:type="spellEnd"/>
      <w:r w:rsidRPr="0084171B">
        <w:t xml:space="preserve"> </w:t>
      </w:r>
      <w:proofErr w:type="spellStart"/>
      <w:r w:rsidRPr="0084171B">
        <w:t>comunicación</w:t>
      </w:r>
      <w:proofErr w:type="spellEnd"/>
      <w:r w:rsidRPr="0084171B">
        <w:t xml:space="preserve">: Tania </w:t>
      </w:r>
      <w:proofErr w:type="spellStart"/>
      <w:r w:rsidRPr="0084171B">
        <w:t>María</w:t>
      </w:r>
      <w:proofErr w:type="spellEnd"/>
      <w:r w:rsidRPr="0084171B">
        <w:t xml:space="preserve"> </w:t>
      </w:r>
      <w:proofErr w:type="spellStart"/>
      <w:r w:rsidRPr="0084171B">
        <w:t>Abdo</w:t>
      </w:r>
      <w:proofErr w:type="spellEnd"/>
      <w:r w:rsidRPr="0084171B">
        <w:t xml:space="preserve"> </w:t>
      </w:r>
      <w:proofErr w:type="spellStart"/>
      <w:r w:rsidRPr="0084171B">
        <w:t>Rocholl</w:t>
      </w:r>
      <w:proofErr w:type="spellEnd"/>
      <w:r w:rsidRPr="0084171B">
        <w:t>,</w:t>
      </w:r>
      <w:r w:rsidRPr="00B3387B">
        <w:t xml:space="preserve"> </w:t>
      </w:r>
      <w:proofErr w:type="spellStart"/>
      <w:r w:rsidRPr="0087337A">
        <w:t>Yadh</w:t>
      </w:r>
      <w:proofErr w:type="spellEnd"/>
      <w:r w:rsidRPr="0087337A">
        <w:t xml:space="preserve"> Ben </w:t>
      </w:r>
      <w:proofErr w:type="spellStart"/>
      <w:r w:rsidRPr="0087337A">
        <w:t>Achour</w:t>
      </w:r>
      <w:proofErr w:type="spellEnd"/>
      <w:r>
        <w:t>,</w:t>
      </w:r>
      <w:r w:rsidRPr="0084171B">
        <w:t xml:space="preserve"> </w:t>
      </w:r>
      <w:proofErr w:type="spellStart"/>
      <w:r w:rsidRPr="0084171B">
        <w:t>Ilze</w:t>
      </w:r>
      <w:proofErr w:type="spellEnd"/>
      <w:r w:rsidRPr="0084171B">
        <w:t xml:space="preserve"> Brands </w:t>
      </w:r>
      <w:proofErr w:type="spellStart"/>
      <w:r w:rsidRPr="0084171B">
        <w:t>Kehris</w:t>
      </w:r>
      <w:proofErr w:type="spellEnd"/>
      <w:r w:rsidRPr="0084171B">
        <w:t xml:space="preserve">, </w:t>
      </w:r>
      <w:r>
        <w:t xml:space="preserve">Christopher </w:t>
      </w:r>
      <w:proofErr w:type="spellStart"/>
      <w:r>
        <w:t>Arif</w:t>
      </w:r>
      <w:proofErr w:type="spellEnd"/>
      <w:r>
        <w:t xml:space="preserve"> </w:t>
      </w:r>
      <w:proofErr w:type="spellStart"/>
      <w:r>
        <w:t>Bulkan</w:t>
      </w:r>
      <w:proofErr w:type="spellEnd"/>
      <w:r>
        <w:t xml:space="preserve">, </w:t>
      </w:r>
      <w:r w:rsidRPr="0084171B">
        <w:t xml:space="preserve">Ahmed Amin </w:t>
      </w:r>
      <w:proofErr w:type="spellStart"/>
      <w:r w:rsidRPr="0084171B">
        <w:t>Fathalla</w:t>
      </w:r>
      <w:proofErr w:type="spellEnd"/>
      <w:r w:rsidRPr="0084171B">
        <w:t xml:space="preserve">, </w:t>
      </w:r>
      <w:r>
        <w:t xml:space="preserve">Shuichi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rsidRPr="0084171B">
        <w:t>Bamariam</w:t>
      </w:r>
      <w:proofErr w:type="spellEnd"/>
      <w:r w:rsidRPr="0084171B">
        <w:t xml:space="preserve"> </w:t>
      </w:r>
      <w:proofErr w:type="spellStart"/>
      <w:r w:rsidRPr="0084171B">
        <w:t>Koita</w:t>
      </w:r>
      <w:proofErr w:type="spellEnd"/>
      <w:r w:rsidRPr="0084171B">
        <w:t xml:space="preserve">, Marcia V.J. </w:t>
      </w:r>
      <w:proofErr w:type="spellStart"/>
      <w:r w:rsidRPr="0084171B">
        <w:t>Kran</w:t>
      </w:r>
      <w:proofErr w:type="spellEnd"/>
      <w:r>
        <w:t xml:space="preserve">, 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Hernán</w:t>
      </w:r>
      <w:proofErr w:type="spellEnd"/>
      <w:r>
        <w:t xml:space="preserve"> Quezada, </w:t>
      </w:r>
      <w:proofErr w:type="spellStart"/>
      <w:r>
        <w:t>Vasilka</w:t>
      </w:r>
      <w:proofErr w:type="spellEnd"/>
      <w:r>
        <w:t xml:space="preserve"> </w:t>
      </w:r>
      <w:proofErr w:type="spellStart"/>
      <w:r>
        <w:t>Sancin</w:t>
      </w:r>
      <w:proofErr w:type="spellEnd"/>
      <w:r>
        <w:t>,</w:t>
      </w:r>
      <w:r w:rsidRPr="0084171B">
        <w:t xml:space="preserve"> José Manuel Santos </w:t>
      </w:r>
      <w:proofErr w:type="spellStart"/>
      <w:r w:rsidRPr="0084171B">
        <w:t>Pais</w:t>
      </w:r>
      <w:proofErr w:type="spellEnd"/>
      <w:r>
        <w:t xml:space="preserve">, Yuval </w:t>
      </w:r>
      <w:proofErr w:type="spellStart"/>
      <w:r>
        <w:t>Shany</w:t>
      </w:r>
      <w:proofErr w:type="spellEnd"/>
      <w:r>
        <w:t xml:space="preserve"> y Hélène </w:t>
      </w:r>
      <w:proofErr w:type="spellStart"/>
      <w:r>
        <w:t>Tigroudja</w:t>
      </w:r>
      <w:proofErr w:type="spellEnd"/>
      <w:r>
        <w:t>.</w:t>
      </w:r>
    </w:p>
    <w:p w14:paraId="73B5C75E" w14:textId="5608FAD0" w:rsidR="007E753F" w:rsidRPr="007E753F" w:rsidRDefault="007E753F">
      <w:pPr>
        <w:pStyle w:val="FootnoteText"/>
      </w:pPr>
    </w:p>
  </w:footnote>
  <w:footnote w:id="3">
    <w:p w14:paraId="2A0A9421" w14:textId="77777777" w:rsidR="007918A1" w:rsidRPr="008E2D29" w:rsidRDefault="00860C0B">
      <w:pPr>
        <w:pStyle w:val="FootnoteText"/>
        <w:rPr>
          <w:lang w:val="es-ES"/>
        </w:rPr>
      </w:pPr>
      <w:r>
        <w:rPr>
          <w:lang w:val="es-ES"/>
        </w:rPr>
        <w:tab/>
      </w:r>
      <w:r w:rsidR="007918A1">
        <w:rPr>
          <w:rStyle w:val="FootnoteReference"/>
        </w:rPr>
        <w:footnoteRef/>
      </w:r>
      <w:r>
        <w:rPr>
          <w:lang w:val="es-ES"/>
        </w:rPr>
        <w:tab/>
      </w:r>
      <w:r w:rsidR="007918A1" w:rsidRPr="008E2D29">
        <w:rPr>
          <w:lang w:val="es-ES"/>
        </w:rPr>
        <w:t>Esta decisión no fue objeto de recurso contencioso administrativo.</w:t>
      </w:r>
    </w:p>
  </w:footnote>
  <w:footnote w:id="4">
    <w:p w14:paraId="14252736" w14:textId="167D6C60" w:rsidR="005A2A77" w:rsidRPr="006B0CF9" w:rsidRDefault="006B0CF9">
      <w:pPr>
        <w:pStyle w:val="FootnoteText"/>
        <w:rPr>
          <w:lang w:val="es-ES"/>
        </w:rPr>
      </w:pPr>
      <w:r>
        <w:rPr>
          <w:lang w:val="es-ES"/>
        </w:rPr>
        <w:tab/>
      </w:r>
      <w:r w:rsidR="005A2A77">
        <w:rPr>
          <w:rStyle w:val="FootnoteReference"/>
        </w:rPr>
        <w:footnoteRef/>
      </w:r>
      <w:r w:rsidR="005A2A77" w:rsidRPr="006B0CF9">
        <w:rPr>
          <w:lang w:val="es-ES"/>
        </w:rPr>
        <w:t xml:space="preserve"> </w:t>
      </w:r>
      <w:r>
        <w:rPr>
          <w:lang w:val="es-ES"/>
        </w:rPr>
        <w:tab/>
      </w:r>
      <w:r w:rsidR="005A2A77">
        <w:rPr>
          <w:lang w:val="es-ES"/>
        </w:rPr>
        <w:t>Ver Sentencia del Tribunal Europeo de Derechos Humanos Petición 21780/13</w:t>
      </w:r>
    </w:p>
  </w:footnote>
  <w:footnote w:id="5">
    <w:p w14:paraId="53DF9B4E" w14:textId="2D26C9D1" w:rsidR="0084271D" w:rsidRPr="00574B4D" w:rsidRDefault="008A0BFE">
      <w:pPr>
        <w:pStyle w:val="FootnoteText"/>
        <w:rPr>
          <w:lang w:val="es-ES"/>
        </w:rPr>
      </w:pPr>
      <w:r>
        <w:rPr>
          <w:lang w:val="es-ES"/>
        </w:rPr>
        <w:tab/>
      </w:r>
      <w:r w:rsidR="0084271D">
        <w:rPr>
          <w:rStyle w:val="FootnoteReference"/>
        </w:rPr>
        <w:footnoteRef/>
      </w:r>
      <w:r>
        <w:rPr>
          <w:lang w:val="es-ES"/>
        </w:rPr>
        <w:tab/>
      </w:r>
      <w:r w:rsidR="0084271D">
        <w:rPr>
          <w:lang w:val="es-ES"/>
        </w:rPr>
        <w:t xml:space="preserve">El Reino de España presentó una reserva en su adhesión al Protocolo Facultativo </w:t>
      </w:r>
      <w:r w:rsidR="00935D25">
        <w:rPr>
          <w:lang w:val="es-ES"/>
        </w:rPr>
        <w:t>entendiendo que la provisión del artículo 5 (2) significa que el Comité no considerará ninguna comunicación que haya sido o esté siendo examinada por otro procedimiento internacional de examen o arreglo.</w:t>
      </w:r>
    </w:p>
  </w:footnote>
  <w:footnote w:id="6">
    <w:p w14:paraId="2856A07E" w14:textId="77777777" w:rsidR="007918A1" w:rsidRPr="008E2D29" w:rsidRDefault="00860C0B" w:rsidP="00860C0B">
      <w:pPr>
        <w:pStyle w:val="FootnoteText"/>
        <w:rPr>
          <w:lang w:val="es-ES"/>
        </w:rPr>
      </w:pPr>
      <w:r>
        <w:rPr>
          <w:lang w:val="es-ES"/>
        </w:rPr>
        <w:tab/>
      </w:r>
      <w:r w:rsidR="007918A1">
        <w:rPr>
          <w:rStyle w:val="FootnoteReference"/>
        </w:rPr>
        <w:footnoteRef/>
      </w:r>
      <w:r>
        <w:rPr>
          <w:lang w:val="es-ES"/>
        </w:rPr>
        <w:tab/>
      </w:r>
      <w:r w:rsidR="007918A1" w:rsidRPr="008E2D29">
        <w:rPr>
          <w:lang w:val="es-ES"/>
        </w:rPr>
        <w:t xml:space="preserve">Ver </w:t>
      </w:r>
      <w:proofErr w:type="spellStart"/>
      <w:r w:rsidR="007918A1" w:rsidRPr="008E2D29">
        <w:rPr>
          <w:lang w:val="es-ES"/>
        </w:rPr>
        <w:t>Achabal</w:t>
      </w:r>
      <w:proofErr w:type="spellEnd"/>
      <w:r w:rsidR="007918A1" w:rsidRPr="008E2D29">
        <w:rPr>
          <w:lang w:val="es-ES"/>
        </w:rPr>
        <w:t xml:space="preserve"> Puertas c. España (CCPR/C/107/D/1945/2010) párr. 7.3</w:t>
      </w:r>
      <w:r w:rsidR="00A935C8">
        <w:rPr>
          <w:lang w:val="es-ES"/>
        </w:rPr>
        <w:t>.</w:t>
      </w:r>
    </w:p>
  </w:footnote>
  <w:footnote w:id="7">
    <w:p w14:paraId="1E57D65F" w14:textId="77777777" w:rsidR="00AF5BAF" w:rsidRPr="00D742AA" w:rsidRDefault="00860C0B">
      <w:pPr>
        <w:pStyle w:val="FootnoteText"/>
        <w:rPr>
          <w:lang w:val="es-ES"/>
        </w:rPr>
      </w:pPr>
      <w:r>
        <w:rPr>
          <w:lang w:val="es-ES"/>
        </w:rPr>
        <w:tab/>
      </w:r>
      <w:r w:rsidR="00AF5BAF">
        <w:rPr>
          <w:rStyle w:val="FootnoteReference"/>
        </w:rPr>
        <w:footnoteRef/>
      </w:r>
      <w:r>
        <w:rPr>
          <w:lang w:val="es-ES"/>
        </w:rPr>
        <w:tab/>
      </w:r>
      <w:r w:rsidR="00AF5BAF">
        <w:rPr>
          <w:lang w:val="es-ES"/>
        </w:rPr>
        <w:t>Ver Sentencia del Tribunal Supremo 39/2019.</w:t>
      </w:r>
    </w:p>
  </w:footnote>
  <w:footnote w:id="8">
    <w:p w14:paraId="2AC7BC43" w14:textId="77777777" w:rsidR="007918A1" w:rsidRPr="006A4F5F" w:rsidRDefault="009C6531" w:rsidP="009C6531">
      <w:pPr>
        <w:pStyle w:val="FootnoteText"/>
        <w:rPr>
          <w:lang w:val="es-ES"/>
        </w:rPr>
      </w:pPr>
      <w:r>
        <w:rPr>
          <w:lang w:val="es-ES"/>
        </w:rPr>
        <w:tab/>
      </w:r>
      <w:r w:rsidR="007918A1">
        <w:rPr>
          <w:vertAlign w:val="superscript"/>
        </w:rPr>
        <w:footnoteRef/>
      </w:r>
      <w:r>
        <w:rPr>
          <w:lang w:val="es-ES"/>
        </w:rPr>
        <w:tab/>
      </w:r>
      <w:r w:rsidR="007918A1">
        <w:rPr>
          <w:lang w:val="es-ES"/>
        </w:rPr>
        <w:t>Véase artículo 50 LOTC 2/1979, de 3 de octubre: “</w:t>
      </w:r>
      <w:r w:rsidR="007918A1" w:rsidRPr="006A4F5F">
        <w:rPr>
          <w:lang w:val="es-ES"/>
        </w:rPr>
        <w:t>1. El recurso de amparo debe ser objeto de una decisión de admisión a trámite. La Sección, por unanimidad de sus miembros, acordará mediante providencia la admisión, en todo o en parte, del recurso solamente cuando concurran todos los siguientes requisitos: a) Que la demanda cumpla con lo dispuesto en los artículos 41 a 46 y 49.</w:t>
      </w:r>
      <w:r w:rsidR="007918A1">
        <w:rPr>
          <w:lang w:val="es-ES"/>
        </w:rPr>
        <w:t xml:space="preserve"> (…)”</w:t>
      </w:r>
      <w:r w:rsidR="00351D23">
        <w:rPr>
          <w:lang w:val="es-ES"/>
        </w:rPr>
        <w:t>.</w:t>
      </w:r>
    </w:p>
  </w:footnote>
  <w:footnote w:id="9">
    <w:p w14:paraId="4B8E2BF2" w14:textId="77777777" w:rsidR="007918A1" w:rsidRPr="00036E20" w:rsidRDefault="009C6531" w:rsidP="009C6531">
      <w:pPr>
        <w:pStyle w:val="FootnoteText"/>
        <w:rPr>
          <w:lang w:val="es-ES"/>
        </w:rPr>
      </w:pPr>
      <w:r>
        <w:rPr>
          <w:lang w:val="es-ES"/>
        </w:rPr>
        <w:tab/>
      </w:r>
      <w:r w:rsidR="007918A1">
        <w:rPr>
          <w:vertAlign w:val="superscript"/>
        </w:rPr>
        <w:footnoteRef/>
      </w:r>
      <w:r>
        <w:rPr>
          <w:lang w:val="es-ES"/>
        </w:rPr>
        <w:tab/>
      </w:r>
      <w:r w:rsidR="007918A1" w:rsidRPr="00036E20">
        <w:rPr>
          <w:lang w:val="es-ES"/>
        </w:rPr>
        <w:t xml:space="preserve">Véase la </w:t>
      </w:r>
      <w:proofErr w:type="gramStart"/>
      <w:r w:rsidR="007918A1" w:rsidRPr="00036E20">
        <w:rPr>
          <w:lang w:val="es-ES"/>
        </w:rPr>
        <w:t>comunicación Nº</w:t>
      </w:r>
      <w:proofErr w:type="gramEnd"/>
      <w:r w:rsidR="007918A1" w:rsidRPr="00036E20">
        <w:rPr>
          <w:lang w:val="es-ES"/>
        </w:rPr>
        <w:t xml:space="preserve"> 944/2000, </w:t>
      </w:r>
      <w:proofErr w:type="spellStart"/>
      <w:r w:rsidR="007918A1" w:rsidRPr="00B768AE">
        <w:rPr>
          <w:i/>
          <w:lang w:val="es-ES"/>
        </w:rPr>
        <w:t>Mahabir</w:t>
      </w:r>
      <w:proofErr w:type="spellEnd"/>
      <w:r w:rsidR="007918A1" w:rsidRPr="00B768AE">
        <w:rPr>
          <w:i/>
          <w:lang w:val="es-ES"/>
        </w:rPr>
        <w:t xml:space="preserve"> c. Austria</w:t>
      </w:r>
      <w:r w:rsidR="007918A1" w:rsidRPr="00036E20">
        <w:rPr>
          <w:lang w:val="es-ES"/>
        </w:rPr>
        <w:t xml:space="preserve">, decisión de inadmisibilidad de 26 de octubre de 2004, </w:t>
      </w:r>
      <w:proofErr w:type="spellStart"/>
      <w:r w:rsidR="007918A1" w:rsidRPr="00036E20">
        <w:rPr>
          <w:lang w:val="es-ES"/>
        </w:rPr>
        <w:t>párrs</w:t>
      </w:r>
      <w:proofErr w:type="spellEnd"/>
      <w:r w:rsidR="007918A1" w:rsidRPr="00036E20">
        <w:rPr>
          <w:lang w:val="es-ES"/>
        </w:rPr>
        <w:t>. 8.3 y 8.4.</w:t>
      </w:r>
    </w:p>
  </w:footnote>
  <w:footnote w:id="10">
    <w:p w14:paraId="2838BDB1" w14:textId="77777777" w:rsidR="007918A1" w:rsidRPr="00036E20" w:rsidRDefault="009C6531" w:rsidP="009C6531">
      <w:pPr>
        <w:pStyle w:val="FootnoteText"/>
        <w:rPr>
          <w:lang w:val="es-ES"/>
        </w:rPr>
      </w:pPr>
      <w:r>
        <w:rPr>
          <w:lang w:val="es-ES"/>
        </w:rPr>
        <w:tab/>
      </w:r>
      <w:r w:rsidR="007918A1">
        <w:rPr>
          <w:vertAlign w:val="superscript"/>
        </w:rPr>
        <w:footnoteRef/>
      </w:r>
      <w:r>
        <w:rPr>
          <w:lang w:val="es-ES"/>
        </w:rPr>
        <w:tab/>
      </w:r>
      <w:r w:rsidR="007918A1" w:rsidRPr="00036E20">
        <w:rPr>
          <w:lang w:val="es-ES"/>
        </w:rPr>
        <w:t xml:space="preserve">Ver </w:t>
      </w:r>
      <w:proofErr w:type="spellStart"/>
      <w:r w:rsidR="007918A1" w:rsidRPr="00B768AE">
        <w:rPr>
          <w:i/>
          <w:lang w:val="es-ES"/>
        </w:rPr>
        <w:t>Roussev</w:t>
      </w:r>
      <w:proofErr w:type="spellEnd"/>
      <w:r w:rsidR="007918A1" w:rsidRPr="00B768AE">
        <w:rPr>
          <w:i/>
          <w:lang w:val="es-ES"/>
        </w:rPr>
        <w:t xml:space="preserve"> </w:t>
      </w:r>
      <w:proofErr w:type="spellStart"/>
      <w:r w:rsidR="007918A1" w:rsidRPr="00B768AE">
        <w:rPr>
          <w:i/>
          <w:lang w:val="es-ES"/>
        </w:rPr>
        <w:t>Gueorguiev</w:t>
      </w:r>
      <w:proofErr w:type="spellEnd"/>
      <w:r w:rsidR="007918A1" w:rsidRPr="00B768AE">
        <w:rPr>
          <w:i/>
          <w:lang w:val="es-ES"/>
        </w:rPr>
        <w:t xml:space="preserve"> c España</w:t>
      </w:r>
      <w:r w:rsidR="007918A1" w:rsidRPr="00036E20">
        <w:rPr>
          <w:lang w:val="es-ES"/>
        </w:rPr>
        <w:t xml:space="preserve"> (CCPR/C/90/D/1386/2005), para. 6.2</w:t>
      </w:r>
      <w:r w:rsidR="00351D23">
        <w:rPr>
          <w:lang w:val="es-ES"/>
        </w:rPr>
        <w:t>.</w:t>
      </w:r>
    </w:p>
  </w:footnote>
  <w:footnote w:id="11">
    <w:p w14:paraId="23D1F822" w14:textId="77777777" w:rsidR="007918A1" w:rsidRPr="00FD17B2" w:rsidRDefault="009C6531" w:rsidP="009C6531">
      <w:pPr>
        <w:pStyle w:val="FootnoteText"/>
        <w:rPr>
          <w:lang w:val="es-ES"/>
        </w:rPr>
      </w:pPr>
      <w:r w:rsidRPr="00FD17B2">
        <w:rPr>
          <w:lang w:val="es-ES"/>
        </w:rPr>
        <w:tab/>
      </w:r>
      <w:r w:rsidR="007918A1" w:rsidRPr="009C6531">
        <w:rPr>
          <w:vertAlign w:val="superscript"/>
        </w:rPr>
        <w:footnoteRef/>
      </w:r>
      <w:r w:rsidRPr="00FD17B2">
        <w:rPr>
          <w:lang w:val="es-ES"/>
        </w:rPr>
        <w:tab/>
      </w:r>
      <w:r w:rsidR="007918A1" w:rsidRPr="00FD17B2">
        <w:rPr>
          <w:lang w:val="es-ES"/>
        </w:rPr>
        <w:t xml:space="preserve">Véanse la </w:t>
      </w:r>
      <w:proofErr w:type="gramStart"/>
      <w:r w:rsidR="007918A1" w:rsidRPr="00FD17B2">
        <w:rPr>
          <w:lang w:val="es-ES"/>
        </w:rPr>
        <w:t>comunicación Nº</w:t>
      </w:r>
      <w:proofErr w:type="gramEnd"/>
      <w:r w:rsidR="007918A1" w:rsidRPr="00FD17B2">
        <w:rPr>
          <w:lang w:val="es-ES"/>
        </w:rPr>
        <w:t xml:space="preserve"> 1003/2001, </w:t>
      </w:r>
      <w:r w:rsidR="007918A1" w:rsidRPr="00B768AE">
        <w:rPr>
          <w:i/>
          <w:lang w:val="es-ES"/>
        </w:rPr>
        <w:t>P. L. c. Alemania</w:t>
      </w:r>
      <w:r w:rsidR="007918A1" w:rsidRPr="00FD17B2">
        <w:rPr>
          <w:lang w:val="es-ES"/>
        </w:rPr>
        <w:t xml:space="preserve">, decisión de inadmisibilidad adoptada el 22 de octubre de 2003, párr. 6.5; y la comunicación Nº 433/1990, </w:t>
      </w:r>
      <w:r w:rsidR="007918A1" w:rsidRPr="00B768AE">
        <w:rPr>
          <w:i/>
          <w:lang w:val="es-ES"/>
        </w:rPr>
        <w:t>A. P. A. c. España</w:t>
      </w:r>
      <w:r w:rsidR="007918A1" w:rsidRPr="00FD17B2">
        <w:rPr>
          <w:lang w:val="es-ES"/>
        </w:rPr>
        <w:t>, decisión de inadmisibilidad adoptada el 25 de marzo de 1994, párr. 6.2.</w:t>
      </w:r>
    </w:p>
  </w:footnote>
  <w:footnote w:id="12">
    <w:p w14:paraId="4928F91B" w14:textId="77777777" w:rsidR="007918A1" w:rsidRPr="00036E20" w:rsidRDefault="009F4618" w:rsidP="009F4618">
      <w:pPr>
        <w:pStyle w:val="FootnoteText"/>
        <w:rPr>
          <w:lang w:val="es-ES"/>
        </w:rPr>
      </w:pPr>
      <w:r>
        <w:rPr>
          <w:lang w:val="es-ES"/>
        </w:rPr>
        <w:tab/>
      </w:r>
      <w:r w:rsidR="007918A1">
        <w:rPr>
          <w:vertAlign w:val="superscript"/>
        </w:rPr>
        <w:footnoteRef/>
      </w:r>
      <w:r>
        <w:rPr>
          <w:lang w:val="es-ES"/>
        </w:rPr>
        <w:tab/>
      </w:r>
      <w:r w:rsidR="007918A1" w:rsidRPr="00036E20">
        <w:rPr>
          <w:lang w:val="es-ES"/>
        </w:rPr>
        <w:t xml:space="preserve">Véase </w:t>
      </w:r>
      <w:r w:rsidR="007918A1" w:rsidRPr="00036E20">
        <w:rPr>
          <w:i/>
          <w:lang w:val="es-ES"/>
        </w:rPr>
        <w:t>A. P. A. c. España</w:t>
      </w:r>
      <w:r w:rsidR="007918A1" w:rsidRPr="00036E20">
        <w:rPr>
          <w:lang w:val="es-ES"/>
        </w:rPr>
        <w:t xml:space="preserve">, caso Nº 433/1990, decisión adoptada el 25 de marzo de 1994, y </w:t>
      </w:r>
      <w:r w:rsidR="007918A1" w:rsidRPr="00036E20">
        <w:rPr>
          <w:i/>
          <w:lang w:val="es-ES"/>
        </w:rPr>
        <w:t>P. L. c. Alemania</w:t>
      </w:r>
      <w:r w:rsidR="007918A1" w:rsidRPr="00036E20">
        <w:rPr>
          <w:lang w:val="es-ES"/>
        </w:rPr>
        <w:t xml:space="preserve">, caso Nº 1003/2001, decisión adoptada el 22 de octubre de 2003; y </w:t>
      </w:r>
      <w:proofErr w:type="spellStart"/>
      <w:r w:rsidR="007918A1" w:rsidRPr="00036E20">
        <w:rPr>
          <w:lang w:val="es-ES"/>
        </w:rPr>
        <w:t>Celal</w:t>
      </w:r>
      <w:proofErr w:type="spellEnd"/>
      <w:r w:rsidR="007918A1" w:rsidRPr="00036E20">
        <w:rPr>
          <w:lang w:val="es-ES"/>
        </w:rPr>
        <w:t xml:space="preserve"> c. Grecia </w:t>
      </w:r>
      <w:r w:rsidR="007918A1" w:rsidRPr="00351D23">
        <w:rPr>
          <w:szCs w:val="18"/>
          <w:lang w:val="es-ES"/>
        </w:rPr>
        <w:t>(CCPR/C/82/D/1235/2003),</w:t>
      </w:r>
      <w:r w:rsidR="007918A1" w:rsidRPr="00036E20">
        <w:rPr>
          <w:lang w:val="es-ES"/>
        </w:rPr>
        <w:t xml:space="preserve"> para. 6.4</w:t>
      </w:r>
      <w:r w:rsidR="00351D23">
        <w:rPr>
          <w:lang w:val="es-ES"/>
        </w:rPr>
        <w:t>.</w:t>
      </w:r>
    </w:p>
  </w:footnote>
  <w:footnote w:id="13">
    <w:p w14:paraId="43E968F6" w14:textId="69D71A13" w:rsidR="00E05F39" w:rsidRPr="0064312A" w:rsidRDefault="006B0CF9" w:rsidP="009F4618">
      <w:pPr>
        <w:pStyle w:val="FootnoteText"/>
        <w:rPr>
          <w:lang w:val="es-ES"/>
        </w:rPr>
      </w:pPr>
      <w:r>
        <w:rPr>
          <w:lang w:val="es-ES"/>
        </w:rPr>
        <w:tab/>
      </w:r>
      <w:r w:rsidR="00E05F39">
        <w:rPr>
          <w:rStyle w:val="FootnoteReference"/>
        </w:rPr>
        <w:footnoteRef/>
      </w:r>
      <w:r w:rsidR="00E05F39">
        <w:rPr>
          <w:lang w:val="es-ES"/>
        </w:rPr>
        <w:tab/>
      </w:r>
      <w:r w:rsidR="00E05F39" w:rsidRPr="000F2586">
        <w:rPr>
          <w:lang w:val="es-ES"/>
        </w:rPr>
        <w:t>Véase</w:t>
      </w:r>
      <w:r w:rsidR="00E05F39">
        <w:rPr>
          <w:lang w:val="es-ES"/>
        </w:rPr>
        <w:t xml:space="preserve"> </w:t>
      </w:r>
      <w:r w:rsidR="00E05F39" w:rsidRPr="00B768AE">
        <w:rPr>
          <w:i/>
          <w:lang w:val="es-ES"/>
        </w:rPr>
        <w:t>Cañada Mora c. España</w:t>
      </w:r>
      <w:r w:rsidR="00E05F39">
        <w:rPr>
          <w:lang w:val="es-ES"/>
        </w:rPr>
        <w:t xml:space="preserve"> (</w:t>
      </w:r>
      <w:r w:rsidR="00E05F39" w:rsidRPr="008C028D">
        <w:rPr>
          <w:lang w:val="es-ES"/>
        </w:rPr>
        <w:t>CCPR/C/112/D/2070/2011</w:t>
      </w:r>
      <w:r w:rsidR="00E05F39">
        <w:rPr>
          <w:lang w:val="es-ES"/>
        </w:rPr>
        <w:t xml:space="preserve">), párr..4.3; </w:t>
      </w:r>
      <w:r w:rsidR="00E05F39" w:rsidRPr="00B768AE">
        <w:rPr>
          <w:i/>
          <w:lang w:val="es-ES"/>
        </w:rPr>
        <w:t>Manzano y otros c. Colombia</w:t>
      </w:r>
      <w:r w:rsidR="00E05F39">
        <w:rPr>
          <w:lang w:val="es-ES"/>
        </w:rPr>
        <w:t xml:space="preserve"> (</w:t>
      </w:r>
      <w:r w:rsidR="00E05F39" w:rsidRPr="0064312A">
        <w:rPr>
          <w:lang w:val="es-ES"/>
        </w:rPr>
        <w:t>CCPR/C/98/D/1616/2007</w:t>
      </w:r>
      <w:r w:rsidR="00E05F39">
        <w:rPr>
          <w:lang w:val="es-ES"/>
        </w:rPr>
        <w:t>), párr. 6.4;</w:t>
      </w:r>
      <w:r w:rsidR="00E05F39" w:rsidRPr="008C028D">
        <w:rPr>
          <w:lang w:val="es-ES"/>
        </w:rPr>
        <w:t xml:space="preserve"> </w:t>
      </w:r>
      <w:r w:rsidR="00E05F39" w:rsidRPr="00B768AE">
        <w:rPr>
          <w:i/>
          <w:lang w:val="es-ES"/>
        </w:rPr>
        <w:t>L. D. L. P c. España</w:t>
      </w:r>
      <w:r w:rsidR="00E05F39">
        <w:rPr>
          <w:lang w:val="es-ES"/>
        </w:rPr>
        <w:t xml:space="preserve"> (CCPR/C/102/D/1622/2007)</w:t>
      </w:r>
      <w:r w:rsidR="00E05F39" w:rsidRPr="008C028D">
        <w:rPr>
          <w:lang w:val="es-ES"/>
        </w:rPr>
        <w:t xml:space="preserve">, párr. </w:t>
      </w:r>
      <w:r w:rsidR="00E05F39" w:rsidRPr="00DD635C">
        <w:rPr>
          <w:lang w:val="es-ES"/>
        </w:rPr>
        <w:t>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E2E0" w14:textId="56AAC773" w:rsidR="007918A1" w:rsidRPr="00C61FA0" w:rsidRDefault="007E753F" w:rsidP="006A31AE">
    <w:pPr>
      <w:pStyle w:val="Header"/>
    </w:pPr>
    <w:proofErr w:type="spellStart"/>
    <w:r w:rsidRPr="007E753F">
      <w:t>Edición</w:t>
    </w:r>
    <w:proofErr w:type="spellEnd"/>
    <w:r w:rsidRPr="007E753F">
      <w:t xml:space="preserve"> </w:t>
    </w:r>
    <w:proofErr w:type="spellStart"/>
    <w:r w:rsidRPr="007E753F">
      <w:t>avanzada</w:t>
    </w:r>
    <w:proofErr w:type="spellEnd"/>
    <w:r w:rsidRPr="007E753F">
      <w:t xml:space="preserve"> sin </w:t>
    </w:r>
    <w:proofErr w:type="spellStart"/>
    <w:r w:rsidRPr="007E753F">
      <w:t>editar</w:t>
    </w:r>
    <w:proofErr w:type="spellEnd"/>
    <w:r w:rsidRPr="007E753F">
      <w:t xml:space="preserve"> </w:t>
    </w:r>
    <w:r w:rsidR="007918A1">
      <w:t>CCPR/C/127</w:t>
    </w:r>
    <w:r w:rsidR="007918A1" w:rsidRPr="00C61FA0">
      <w:t>/D/</w:t>
    </w:r>
    <w:r w:rsidR="007918A1">
      <w:t>3085/2017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B6B2" w14:textId="70B26D34" w:rsidR="007918A1" w:rsidRPr="006A31AE" w:rsidRDefault="007E753F" w:rsidP="006A31AE">
    <w:pPr>
      <w:pStyle w:val="Header"/>
      <w:jc w:val="right"/>
    </w:pPr>
    <w:proofErr w:type="spellStart"/>
    <w:r w:rsidRPr="007E753F">
      <w:t>Edición</w:t>
    </w:r>
    <w:proofErr w:type="spellEnd"/>
    <w:r w:rsidRPr="007E753F">
      <w:t xml:space="preserve"> </w:t>
    </w:r>
    <w:proofErr w:type="spellStart"/>
    <w:r w:rsidRPr="007E753F">
      <w:t>avanzada</w:t>
    </w:r>
    <w:proofErr w:type="spellEnd"/>
    <w:r w:rsidRPr="007E753F">
      <w:t xml:space="preserve"> sin </w:t>
    </w:r>
    <w:proofErr w:type="spellStart"/>
    <w:r w:rsidRPr="007E753F">
      <w:t>editar</w:t>
    </w:r>
    <w:proofErr w:type="spellEnd"/>
    <w:r w:rsidRPr="007E753F">
      <w:t xml:space="preserve"> </w:t>
    </w:r>
    <w:r w:rsidR="007918A1" w:rsidRPr="006A31AE">
      <w:t>CCPR</w:t>
    </w:r>
    <w:r w:rsidR="007918A1">
      <w:t>/C/127/D/</w:t>
    </w:r>
    <w:r w:rsidR="007918A1">
      <w:rPr>
        <w:lang w:val="es-ES"/>
      </w:rPr>
      <w:t>3085/2017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0"/>
  </w:num>
  <w:num w:numId="5">
    <w:abstractNumId w:val="11"/>
  </w:num>
  <w:num w:numId="6">
    <w:abstractNumId w:val="15"/>
  </w:num>
  <w:num w:numId="7">
    <w:abstractNumId w:val="3"/>
  </w:num>
  <w:num w:numId="8">
    <w:abstractNumId w:val="12"/>
  </w:num>
  <w:num w:numId="9">
    <w:abstractNumId w:val="2"/>
  </w:num>
  <w:num w:numId="10">
    <w:abstractNumId w:val="9"/>
  </w:num>
  <w:num w:numId="11">
    <w:abstractNumId w:val="13"/>
  </w:num>
  <w:num w:numId="12">
    <w:abstractNumId w:val="14"/>
  </w:num>
  <w:num w:numId="13">
    <w:abstractNumId w:val="5"/>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proofState w:spelling="clean" w:grammar="clean"/>
  <w:defaultTabStop w:val="567"/>
  <w:hyphenationZone w:val="425"/>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2271"/>
    <w:rsid w:val="0000254F"/>
    <w:rsid w:val="000036BF"/>
    <w:rsid w:val="00004526"/>
    <w:rsid w:val="00004D5C"/>
    <w:rsid w:val="00004ECE"/>
    <w:rsid w:val="00005FCE"/>
    <w:rsid w:val="00006C3A"/>
    <w:rsid w:val="000135E6"/>
    <w:rsid w:val="00015197"/>
    <w:rsid w:val="00015773"/>
    <w:rsid w:val="000158F1"/>
    <w:rsid w:val="00015D00"/>
    <w:rsid w:val="000170F4"/>
    <w:rsid w:val="000203E2"/>
    <w:rsid w:val="00022206"/>
    <w:rsid w:val="00022411"/>
    <w:rsid w:val="00023A6D"/>
    <w:rsid w:val="00024E11"/>
    <w:rsid w:val="00024F11"/>
    <w:rsid w:val="0002643B"/>
    <w:rsid w:val="00026686"/>
    <w:rsid w:val="00027074"/>
    <w:rsid w:val="00027475"/>
    <w:rsid w:val="00030035"/>
    <w:rsid w:val="00030866"/>
    <w:rsid w:val="000310F6"/>
    <w:rsid w:val="00031369"/>
    <w:rsid w:val="000340A1"/>
    <w:rsid w:val="000343BA"/>
    <w:rsid w:val="00034661"/>
    <w:rsid w:val="0003618D"/>
    <w:rsid w:val="00036BBD"/>
    <w:rsid w:val="00036E20"/>
    <w:rsid w:val="00037728"/>
    <w:rsid w:val="00037C77"/>
    <w:rsid w:val="0004036D"/>
    <w:rsid w:val="0004068E"/>
    <w:rsid w:val="00041B6D"/>
    <w:rsid w:val="00041BC1"/>
    <w:rsid w:val="0004254F"/>
    <w:rsid w:val="00043A06"/>
    <w:rsid w:val="00045ECB"/>
    <w:rsid w:val="0004688B"/>
    <w:rsid w:val="00046E92"/>
    <w:rsid w:val="00046FA7"/>
    <w:rsid w:val="000479ED"/>
    <w:rsid w:val="00047F56"/>
    <w:rsid w:val="000507DE"/>
    <w:rsid w:val="00050D82"/>
    <w:rsid w:val="00050EE3"/>
    <w:rsid w:val="00052467"/>
    <w:rsid w:val="00052A2D"/>
    <w:rsid w:val="00054434"/>
    <w:rsid w:val="00054A02"/>
    <w:rsid w:val="000551FF"/>
    <w:rsid w:val="00056763"/>
    <w:rsid w:val="00056920"/>
    <w:rsid w:val="00060735"/>
    <w:rsid w:val="00061604"/>
    <w:rsid w:val="000618DC"/>
    <w:rsid w:val="00062C81"/>
    <w:rsid w:val="00062ED9"/>
    <w:rsid w:val="000635F3"/>
    <w:rsid w:val="0006523D"/>
    <w:rsid w:val="000654C0"/>
    <w:rsid w:val="00067419"/>
    <w:rsid w:val="00067583"/>
    <w:rsid w:val="000677A3"/>
    <w:rsid w:val="00071360"/>
    <w:rsid w:val="00072D08"/>
    <w:rsid w:val="00073A1F"/>
    <w:rsid w:val="00076B5B"/>
    <w:rsid w:val="00077180"/>
    <w:rsid w:val="00082434"/>
    <w:rsid w:val="00082ED8"/>
    <w:rsid w:val="00083082"/>
    <w:rsid w:val="00083121"/>
    <w:rsid w:val="000833F3"/>
    <w:rsid w:val="0008352F"/>
    <w:rsid w:val="00083E34"/>
    <w:rsid w:val="000843D2"/>
    <w:rsid w:val="00084411"/>
    <w:rsid w:val="00085402"/>
    <w:rsid w:val="00086501"/>
    <w:rsid w:val="00086F42"/>
    <w:rsid w:val="0008731B"/>
    <w:rsid w:val="000874E4"/>
    <w:rsid w:val="00090AC2"/>
    <w:rsid w:val="00091BD9"/>
    <w:rsid w:val="000936D7"/>
    <w:rsid w:val="00094067"/>
    <w:rsid w:val="00094134"/>
    <w:rsid w:val="00095492"/>
    <w:rsid w:val="00095626"/>
    <w:rsid w:val="0009611E"/>
    <w:rsid w:val="00096CD8"/>
    <w:rsid w:val="000A0E37"/>
    <w:rsid w:val="000A14EE"/>
    <w:rsid w:val="000A1FF3"/>
    <w:rsid w:val="000A30EE"/>
    <w:rsid w:val="000A3737"/>
    <w:rsid w:val="000A3B6E"/>
    <w:rsid w:val="000A3BC9"/>
    <w:rsid w:val="000A4862"/>
    <w:rsid w:val="000A50B4"/>
    <w:rsid w:val="000A52BE"/>
    <w:rsid w:val="000A682B"/>
    <w:rsid w:val="000A71C0"/>
    <w:rsid w:val="000B1174"/>
    <w:rsid w:val="000B1614"/>
    <w:rsid w:val="000B16D2"/>
    <w:rsid w:val="000B2C1F"/>
    <w:rsid w:val="000B323F"/>
    <w:rsid w:val="000B38F4"/>
    <w:rsid w:val="000B474D"/>
    <w:rsid w:val="000B4BF6"/>
    <w:rsid w:val="000B5F9D"/>
    <w:rsid w:val="000B647D"/>
    <w:rsid w:val="000B778C"/>
    <w:rsid w:val="000B7964"/>
    <w:rsid w:val="000C13C1"/>
    <w:rsid w:val="000C1866"/>
    <w:rsid w:val="000C1D18"/>
    <w:rsid w:val="000C2124"/>
    <w:rsid w:val="000C3719"/>
    <w:rsid w:val="000C394E"/>
    <w:rsid w:val="000C3BA7"/>
    <w:rsid w:val="000C5133"/>
    <w:rsid w:val="000C5B18"/>
    <w:rsid w:val="000C7201"/>
    <w:rsid w:val="000C7386"/>
    <w:rsid w:val="000C7E18"/>
    <w:rsid w:val="000D000F"/>
    <w:rsid w:val="000D0579"/>
    <w:rsid w:val="000D083B"/>
    <w:rsid w:val="000D0B21"/>
    <w:rsid w:val="000D0F37"/>
    <w:rsid w:val="000D1D2D"/>
    <w:rsid w:val="000D2821"/>
    <w:rsid w:val="000D4140"/>
    <w:rsid w:val="000D49F2"/>
    <w:rsid w:val="000D61F9"/>
    <w:rsid w:val="000D6317"/>
    <w:rsid w:val="000D762C"/>
    <w:rsid w:val="000D7D92"/>
    <w:rsid w:val="000E02A6"/>
    <w:rsid w:val="000E0B78"/>
    <w:rsid w:val="000E299F"/>
    <w:rsid w:val="000E4359"/>
    <w:rsid w:val="000E48C0"/>
    <w:rsid w:val="000E6FF4"/>
    <w:rsid w:val="000F00DE"/>
    <w:rsid w:val="000F0805"/>
    <w:rsid w:val="000F197F"/>
    <w:rsid w:val="000F2586"/>
    <w:rsid w:val="000F2EE3"/>
    <w:rsid w:val="000F494A"/>
    <w:rsid w:val="000F6642"/>
    <w:rsid w:val="0010350F"/>
    <w:rsid w:val="00103F7B"/>
    <w:rsid w:val="00104ECA"/>
    <w:rsid w:val="00105030"/>
    <w:rsid w:val="00105D56"/>
    <w:rsid w:val="00106B51"/>
    <w:rsid w:val="00111C57"/>
    <w:rsid w:val="00111E9E"/>
    <w:rsid w:val="00112EB1"/>
    <w:rsid w:val="00113D11"/>
    <w:rsid w:val="00114E1C"/>
    <w:rsid w:val="00114ED4"/>
    <w:rsid w:val="00115217"/>
    <w:rsid w:val="001156B8"/>
    <w:rsid w:val="00120D47"/>
    <w:rsid w:val="00121264"/>
    <w:rsid w:val="00122732"/>
    <w:rsid w:val="00122A15"/>
    <w:rsid w:val="00125BBA"/>
    <w:rsid w:val="00130920"/>
    <w:rsid w:val="00131161"/>
    <w:rsid w:val="0013150C"/>
    <w:rsid w:val="001317C8"/>
    <w:rsid w:val="00131D7A"/>
    <w:rsid w:val="0013321E"/>
    <w:rsid w:val="0013341D"/>
    <w:rsid w:val="0013481A"/>
    <w:rsid w:val="00134E28"/>
    <w:rsid w:val="00134E3D"/>
    <w:rsid w:val="0013514C"/>
    <w:rsid w:val="0013691F"/>
    <w:rsid w:val="00136C70"/>
    <w:rsid w:val="00143089"/>
    <w:rsid w:val="0014371C"/>
    <w:rsid w:val="00143F50"/>
    <w:rsid w:val="00145C89"/>
    <w:rsid w:val="00146939"/>
    <w:rsid w:val="00146AA2"/>
    <w:rsid w:val="001479EC"/>
    <w:rsid w:val="00151328"/>
    <w:rsid w:val="00151691"/>
    <w:rsid w:val="0015195A"/>
    <w:rsid w:val="00152860"/>
    <w:rsid w:val="00152CDA"/>
    <w:rsid w:val="0015340D"/>
    <w:rsid w:val="00154DFB"/>
    <w:rsid w:val="001552BB"/>
    <w:rsid w:val="00155625"/>
    <w:rsid w:val="00155A2C"/>
    <w:rsid w:val="001571C0"/>
    <w:rsid w:val="00157981"/>
    <w:rsid w:val="001600EF"/>
    <w:rsid w:val="00160545"/>
    <w:rsid w:val="00160BF2"/>
    <w:rsid w:val="00161E2F"/>
    <w:rsid w:val="001635DE"/>
    <w:rsid w:val="001643AE"/>
    <w:rsid w:val="00164A89"/>
    <w:rsid w:val="00164A8E"/>
    <w:rsid w:val="00165158"/>
    <w:rsid w:val="00165C15"/>
    <w:rsid w:val="00166F81"/>
    <w:rsid w:val="00167744"/>
    <w:rsid w:val="00173893"/>
    <w:rsid w:val="001738EB"/>
    <w:rsid w:val="001744DF"/>
    <w:rsid w:val="001756EE"/>
    <w:rsid w:val="0017670F"/>
    <w:rsid w:val="00180E8B"/>
    <w:rsid w:val="00181540"/>
    <w:rsid w:val="001821CE"/>
    <w:rsid w:val="0018340C"/>
    <w:rsid w:val="00183525"/>
    <w:rsid w:val="00183B06"/>
    <w:rsid w:val="00184B3C"/>
    <w:rsid w:val="00185881"/>
    <w:rsid w:val="001863C0"/>
    <w:rsid w:val="001864B7"/>
    <w:rsid w:val="00186750"/>
    <w:rsid w:val="00191B6F"/>
    <w:rsid w:val="00195BDB"/>
    <w:rsid w:val="001966FD"/>
    <w:rsid w:val="001975AA"/>
    <w:rsid w:val="001979B2"/>
    <w:rsid w:val="00197E27"/>
    <w:rsid w:val="001A08B5"/>
    <w:rsid w:val="001A243A"/>
    <w:rsid w:val="001A418A"/>
    <w:rsid w:val="001A7E92"/>
    <w:rsid w:val="001B311D"/>
    <w:rsid w:val="001B32C0"/>
    <w:rsid w:val="001B33C0"/>
    <w:rsid w:val="001B3923"/>
    <w:rsid w:val="001B4E60"/>
    <w:rsid w:val="001B534F"/>
    <w:rsid w:val="001C0193"/>
    <w:rsid w:val="001C27E6"/>
    <w:rsid w:val="001C30BE"/>
    <w:rsid w:val="001C41EA"/>
    <w:rsid w:val="001C51D0"/>
    <w:rsid w:val="001C57DA"/>
    <w:rsid w:val="001C6E04"/>
    <w:rsid w:val="001C7517"/>
    <w:rsid w:val="001C7C93"/>
    <w:rsid w:val="001D1A1C"/>
    <w:rsid w:val="001D2E12"/>
    <w:rsid w:val="001D3697"/>
    <w:rsid w:val="001D6481"/>
    <w:rsid w:val="001D78F7"/>
    <w:rsid w:val="001D7EB5"/>
    <w:rsid w:val="001E08F3"/>
    <w:rsid w:val="001E11A3"/>
    <w:rsid w:val="001E1548"/>
    <w:rsid w:val="001E1CB7"/>
    <w:rsid w:val="001E247B"/>
    <w:rsid w:val="001E2F6D"/>
    <w:rsid w:val="001E33A0"/>
    <w:rsid w:val="001E3C98"/>
    <w:rsid w:val="001E3DB9"/>
    <w:rsid w:val="001E431E"/>
    <w:rsid w:val="001E64AE"/>
    <w:rsid w:val="001E6F79"/>
    <w:rsid w:val="001E791F"/>
    <w:rsid w:val="001F02D8"/>
    <w:rsid w:val="001F0654"/>
    <w:rsid w:val="001F2ACE"/>
    <w:rsid w:val="001F4916"/>
    <w:rsid w:val="001F545C"/>
    <w:rsid w:val="001F5AEF"/>
    <w:rsid w:val="001F67D3"/>
    <w:rsid w:val="002013BC"/>
    <w:rsid w:val="0020211A"/>
    <w:rsid w:val="00204AC2"/>
    <w:rsid w:val="00204AD3"/>
    <w:rsid w:val="00205759"/>
    <w:rsid w:val="00207CDF"/>
    <w:rsid w:val="00212046"/>
    <w:rsid w:val="00212BBF"/>
    <w:rsid w:val="00213E4C"/>
    <w:rsid w:val="00214749"/>
    <w:rsid w:val="00215B68"/>
    <w:rsid w:val="002164E8"/>
    <w:rsid w:val="002175CD"/>
    <w:rsid w:val="00217F27"/>
    <w:rsid w:val="00220097"/>
    <w:rsid w:val="00220A9F"/>
    <w:rsid w:val="002218BD"/>
    <w:rsid w:val="00221E6D"/>
    <w:rsid w:val="0022201C"/>
    <w:rsid w:val="00222022"/>
    <w:rsid w:val="00222940"/>
    <w:rsid w:val="00223101"/>
    <w:rsid w:val="00223288"/>
    <w:rsid w:val="00224302"/>
    <w:rsid w:val="002254B7"/>
    <w:rsid w:val="0022582E"/>
    <w:rsid w:val="0022728F"/>
    <w:rsid w:val="00227400"/>
    <w:rsid w:val="00230FAB"/>
    <w:rsid w:val="002328E7"/>
    <w:rsid w:val="00232D7A"/>
    <w:rsid w:val="00232F71"/>
    <w:rsid w:val="0023402C"/>
    <w:rsid w:val="0023440A"/>
    <w:rsid w:val="00235D72"/>
    <w:rsid w:val="00236D6A"/>
    <w:rsid w:val="00237227"/>
    <w:rsid w:val="0023759C"/>
    <w:rsid w:val="00237698"/>
    <w:rsid w:val="002400D7"/>
    <w:rsid w:val="002407AA"/>
    <w:rsid w:val="002409E3"/>
    <w:rsid w:val="00241D18"/>
    <w:rsid w:val="002427FB"/>
    <w:rsid w:val="00243863"/>
    <w:rsid w:val="00243CCD"/>
    <w:rsid w:val="00244617"/>
    <w:rsid w:val="00244BE5"/>
    <w:rsid w:val="002464B8"/>
    <w:rsid w:val="00246B78"/>
    <w:rsid w:val="00247D3F"/>
    <w:rsid w:val="00247E2C"/>
    <w:rsid w:val="002522E7"/>
    <w:rsid w:val="00253219"/>
    <w:rsid w:val="00255DB6"/>
    <w:rsid w:val="00255F5F"/>
    <w:rsid w:val="0025715B"/>
    <w:rsid w:val="00257839"/>
    <w:rsid w:val="00261E8A"/>
    <w:rsid w:val="0026270D"/>
    <w:rsid w:val="00264B4E"/>
    <w:rsid w:val="00266D4F"/>
    <w:rsid w:val="00267CEC"/>
    <w:rsid w:val="002706D2"/>
    <w:rsid w:val="002727F2"/>
    <w:rsid w:val="002738B9"/>
    <w:rsid w:val="00274B98"/>
    <w:rsid w:val="00274CEB"/>
    <w:rsid w:val="002757E2"/>
    <w:rsid w:val="0027669E"/>
    <w:rsid w:val="0027707C"/>
    <w:rsid w:val="00277892"/>
    <w:rsid w:val="002806A4"/>
    <w:rsid w:val="00280BCD"/>
    <w:rsid w:val="00281935"/>
    <w:rsid w:val="00281DAD"/>
    <w:rsid w:val="00282A84"/>
    <w:rsid w:val="00283A73"/>
    <w:rsid w:val="00284A30"/>
    <w:rsid w:val="0028528B"/>
    <w:rsid w:val="002867E1"/>
    <w:rsid w:val="00286CF7"/>
    <w:rsid w:val="00287032"/>
    <w:rsid w:val="00287D7E"/>
    <w:rsid w:val="00291F41"/>
    <w:rsid w:val="0029300F"/>
    <w:rsid w:val="002930EA"/>
    <w:rsid w:val="00293142"/>
    <w:rsid w:val="00293ABB"/>
    <w:rsid w:val="00294CBE"/>
    <w:rsid w:val="00296E9B"/>
    <w:rsid w:val="002A0722"/>
    <w:rsid w:val="002A1545"/>
    <w:rsid w:val="002A1771"/>
    <w:rsid w:val="002A18E3"/>
    <w:rsid w:val="002A202E"/>
    <w:rsid w:val="002A24C4"/>
    <w:rsid w:val="002A29E6"/>
    <w:rsid w:val="002A33EE"/>
    <w:rsid w:val="002A3BC3"/>
    <w:rsid w:val="002A3F7D"/>
    <w:rsid w:val="002A5D70"/>
    <w:rsid w:val="002A6BE5"/>
    <w:rsid w:val="002A7DB2"/>
    <w:rsid w:val="002B1FCE"/>
    <w:rsid w:val="002B221F"/>
    <w:rsid w:val="002B22F5"/>
    <w:rsid w:val="002B29EB"/>
    <w:rsid w:val="002B2AE4"/>
    <w:rsid w:val="002B4A18"/>
    <w:rsid w:val="002B4C49"/>
    <w:rsid w:val="002B5512"/>
    <w:rsid w:val="002B5B42"/>
    <w:rsid w:val="002B64B8"/>
    <w:rsid w:val="002B6DAC"/>
    <w:rsid w:val="002B7404"/>
    <w:rsid w:val="002C07EA"/>
    <w:rsid w:val="002C0C02"/>
    <w:rsid w:val="002C0CF1"/>
    <w:rsid w:val="002C1268"/>
    <w:rsid w:val="002C2878"/>
    <w:rsid w:val="002C2B0F"/>
    <w:rsid w:val="002C34EB"/>
    <w:rsid w:val="002C3E7D"/>
    <w:rsid w:val="002C4E16"/>
    <w:rsid w:val="002C7660"/>
    <w:rsid w:val="002D008E"/>
    <w:rsid w:val="002D0981"/>
    <w:rsid w:val="002D11B6"/>
    <w:rsid w:val="002D17D0"/>
    <w:rsid w:val="002D1C16"/>
    <w:rsid w:val="002D2963"/>
    <w:rsid w:val="002D39FB"/>
    <w:rsid w:val="002D41EA"/>
    <w:rsid w:val="002D448A"/>
    <w:rsid w:val="002D491F"/>
    <w:rsid w:val="002D67BA"/>
    <w:rsid w:val="002D6C53"/>
    <w:rsid w:val="002D6D54"/>
    <w:rsid w:val="002D7B0B"/>
    <w:rsid w:val="002E2239"/>
    <w:rsid w:val="002E3B5C"/>
    <w:rsid w:val="002E4871"/>
    <w:rsid w:val="002E49F5"/>
    <w:rsid w:val="002E52FD"/>
    <w:rsid w:val="002E5F86"/>
    <w:rsid w:val="002E6222"/>
    <w:rsid w:val="002E7B24"/>
    <w:rsid w:val="002F22EA"/>
    <w:rsid w:val="002F2DBD"/>
    <w:rsid w:val="002F36F8"/>
    <w:rsid w:val="002F5595"/>
    <w:rsid w:val="002F6258"/>
    <w:rsid w:val="002F7177"/>
    <w:rsid w:val="002F7A5C"/>
    <w:rsid w:val="00301D01"/>
    <w:rsid w:val="003025C3"/>
    <w:rsid w:val="00305318"/>
    <w:rsid w:val="00305CD5"/>
    <w:rsid w:val="00310F1F"/>
    <w:rsid w:val="00311334"/>
    <w:rsid w:val="00311B38"/>
    <w:rsid w:val="00314064"/>
    <w:rsid w:val="00314281"/>
    <w:rsid w:val="0031532E"/>
    <w:rsid w:val="00320E04"/>
    <w:rsid w:val="003215D9"/>
    <w:rsid w:val="003223E4"/>
    <w:rsid w:val="00322776"/>
    <w:rsid w:val="0032304E"/>
    <w:rsid w:val="003234BD"/>
    <w:rsid w:val="00323538"/>
    <w:rsid w:val="00323997"/>
    <w:rsid w:val="0032423D"/>
    <w:rsid w:val="00326010"/>
    <w:rsid w:val="0032663F"/>
    <w:rsid w:val="0033034B"/>
    <w:rsid w:val="00333621"/>
    <w:rsid w:val="00333887"/>
    <w:rsid w:val="00334F6A"/>
    <w:rsid w:val="0033536E"/>
    <w:rsid w:val="003365A2"/>
    <w:rsid w:val="003411C7"/>
    <w:rsid w:val="00341A3B"/>
    <w:rsid w:val="00342AC8"/>
    <w:rsid w:val="003437ED"/>
    <w:rsid w:val="00343B01"/>
    <w:rsid w:val="00345613"/>
    <w:rsid w:val="00345EAF"/>
    <w:rsid w:val="00345EB1"/>
    <w:rsid w:val="0034706D"/>
    <w:rsid w:val="00351412"/>
    <w:rsid w:val="00351B2C"/>
    <w:rsid w:val="00351C84"/>
    <w:rsid w:val="00351D23"/>
    <w:rsid w:val="00352470"/>
    <w:rsid w:val="0035264A"/>
    <w:rsid w:val="003531AA"/>
    <w:rsid w:val="00354D3E"/>
    <w:rsid w:val="00355CD3"/>
    <w:rsid w:val="00356640"/>
    <w:rsid w:val="0035697E"/>
    <w:rsid w:val="00357239"/>
    <w:rsid w:val="00357F2E"/>
    <w:rsid w:val="003600FB"/>
    <w:rsid w:val="003614FA"/>
    <w:rsid w:val="00361C28"/>
    <w:rsid w:val="00365101"/>
    <w:rsid w:val="0036554A"/>
    <w:rsid w:val="00370E47"/>
    <w:rsid w:val="0037244C"/>
    <w:rsid w:val="003724BB"/>
    <w:rsid w:val="0037262F"/>
    <w:rsid w:val="00373142"/>
    <w:rsid w:val="0037316D"/>
    <w:rsid w:val="00373440"/>
    <w:rsid w:val="0037588E"/>
    <w:rsid w:val="00375BE8"/>
    <w:rsid w:val="00380A48"/>
    <w:rsid w:val="00381E58"/>
    <w:rsid w:val="0038266B"/>
    <w:rsid w:val="00382C55"/>
    <w:rsid w:val="00384102"/>
    <w:rsid w:val="003844CA"/>
    <w:rsid w:val="0038537E"/>
    <w:rsid w:val="00387E40"/>
    <w:rsid w:val="00390A76"/>
    <w:rsid w:val="00392835"/>
    <w:rsid w:val="0039651E"/>
    <w:rsid w:val="003978FB"/>
    <w:rsid w:val="00397939"/>
    <w:rsid w:val="00397DA6"/>
    <w:rsid w:val="003A0766"/>
    <w:rsid w:val="003A2765"/>
    <w:rsid w:val="003A2954"/>
    <w:rsid w:val="003A2CFF"/>
    <w:rsid w:val="003A3F12"/>
    <w:rsid w:val="003A46B9"/>
    <w:rsid w:val="003A61E2"/>
    <w:rsid w:val="003A64D0"/>
    <w:rsid w:val="003A6789"/>
    <w:rsid w:val="003B11E2"/>
    <w:rsid w:val="003B2341"/>
    <w:rsid w:val="003B277A"/>
    <w:rsid w:val="003B4550"/>
    <w:rsid w:val="003B53D9"/>
    <w:rsid w:val="003B5482"/>
    <w:rsid w:val="003B5FB1"/>
    <w:rsid w:val="003B6110"/>
    <w:rsid w:val="003B67E2"/>
    <w:rsid w:val="003B6DFD"/>
    <w:rsid w:val="003C024E"/>
    <w:rsid w:val="003C0347"/>
    <w:rsid w:val="003C28F3"/>
    <w:rsid w:val="003C33AF"/>
    <w:rsid w:val="003C3565"/>
    <w:rsid w:val="003C36AB"/>
    <w:rsid w:val="003C44DF"/>
    <w:rsid w:val="003D2E5D"/>
    <w:rsid w:val="003D3045"/>
    <w:rsid w:val="003D3CA4"/>
    <w:rsid w:val="003D56D0"/>
    <w:rsid w:val="003D5F55"/>
    <w:rsid w:val="003D63E7"/>
    <w:rsid w:val="003D6F7F"/>
    <w:rsid w:val="003D7B23"/>
    <w:rsid w:val="003D7B34"/>
    <w:rsid w:val="003E1E5A"/>
    <w:rsid w:val="003E23E5"/>
    <w:rsid w:val="003E2627"/>
    <w:rsid w:val="003E3403"/>
    <w:rsid w:val="003E3F3E"/>
    <w:rsid w:val="003E5477"/>
    <w:rsid w:val="003E558C"/>
    <w:rsid w:val="003E606A"/>
    <w:rsid w:val="003F0D72"/>
    <w:rsid w:val="003F15FE"/>
    <w:rsid w:val="003F3A4F"/>
    <w:rsid w:val="003F454E"/>
    <w:rsid w:val="003F5B99"/>
    <w:rsid w:val="003F78DD"/>
    <w:rsid w:val="004006BF"/>
    <w:rsid w:val="00401F19"/>
    <w:rsid w:val="00406838"/>
    <w:rsid w:val="00406C7E"/>
    <w:rsid w:val="0041183E"/>
    <w:rsid w:val="00411F78"/>
    <w:rsid w:val="00416346"/>
    <w:rsid w:val="00416642"/>
    <w:rsid w:val="00417532"/>
    <w:rsid w:val="00420F17"/>
    <w:rsid w:val="00422114"/>
    <w:rsid w:val="00423EFD"/>
    <w:rsid w:val="004266B3"/>
    <w:rsid w:val="004268ED"/>
    <w:rsid w:val="00427462"/>
    <w:rsid w:val="004301BC"/>
    <w:rsid w:val="00431785"/>
    <w:rsid w:val="00433591"/>
    <w:rsid w:val="0043420A"/>
    <w:rsid w:val="004354F0"/>
    <w:rsid w:val="00435B83"/>
    <w:rsid w:val="0043793E"/>
    <w:rsid w:val="00437D7F"/>
    <w:rsid w:val="00440731"/>
    <w:rsid w:val="00442BF6"/>
    <w:rsid w:val="00442F95"/>
    <w:rsid w:val="004446B8"/>
    <w:rsid w:val="004454A7"/>
    <w:rsid w:val="0044657A"/>
    <w:rsid w:val="00447255"/>
    <w:rsid w:val="00447272"/>
    <w:rsid w:val="00447964"/>
    <w:rsid w:val="00451272"/>
    <w:rsid w:val="004519C2"/>
    <w:rsid w:val="00451D2E"/>
    <w:rsid w:val="0045374A"/>
    <w:rsid w:val="00453D9E"/>
    <w:rsid w:val="00454BC8"/>
    <w:rsid w:val="0045548E"/>
    <w:rsid w:val="00456116"/>
    <w:rsid w:val="00456B7F"/>
    <w:rsid w:val="00456D88"/>
    <w:rsid w:val="00456EE4"/>
    <w:rsid w:val="0045753C"/>
    <w:rsid w:val="0045767C"/>
    <w:rsid w:val="00461253"/>
    <w:rsid w:val="0046154A"/>
    <w:rsid w:val="00461F4E"/>
    <w:rsid w:val="004633C0"/>
    <w:rsid w:val="0046353A"/>
    <w:rsid w:val="00464EEE"/>
    <w:rsid w:val="00465B54"/>
    <w:rsid w:val="00466F5A"/>
    <w:rsid w:val="00466F8D"/>
    <w:rsid w:val="00471DF1"/>
    <w:rsid w:val="00472FDA"/>
    <w:rsid w:val="00473857"/>
    <w:rsid w:val="00473D1B"/>
    <w:rsid w:val="004749B7"/>
    <w:rsid w:val="00474E77"/>
    <w:rsid w:val="004751FA"/>
    <w:rsid w:val="00475554"/>
    <w:rsid w:val="00476694"/>
    <w:rsid w:val="00477079"/>
    <w:rsid w:val="0047779E"/>
    <w:rsid w:val="00477B73"/>
    <w:rsid w:val="00480930"/>
    <w:rsid w:val="00481246"/>
    <w:rsid w:val="004818BD"/>
    <w:rsid w:val="00482220"/>
    <w:rsid w:val="00482F86"/>
    <w:rsid w:val="00483765"/>
    <w:rsid w:val="00485A8B"/>
    <w:rsid w:val="0048621D"/>
    <w:rsid w:val="004905FA"/>
    <w:rsid w:val="00491FA9"/>
    <w:rsid w:val="004928D0"/>
    <w:rsid w:val="00494A57"/>
    <w:rsid w:val="00494BD6"/>
    <w:rsid w:val="00495777"/>
    <w:rsid w:val="00495AF0"/>
    <w:rsid w:val="00495C41"/>
    <w:rsid w:val="004A464C"/>
    <w:rsid w:val="004A4694"/>
    <w:rsid w:val="004A5F1A"/>
    <w:rsid w:val="004A72F6"/>
    <w:rsid w:val="004B0670"/>
    <w:rsid w:val="004B068F"/>
    <w:rsid w:val="004B2419"/>
    <w:rsid w:val="004B2DB6"/>
    <w:rsid w:val="004B3163"/>
    <w:rsid w:val="004B3C66"/>
    <w:rsid w:val="004B48F9"/>
    <w:rsid w:val="004B5348"/>
    <w:rsid w:val="004B762B"/>
    <w:rsid w:val="004B7F9B"/>
    <w:rsid w:val="004C0FEE"/>
    <w:rsid w:val="004C19E4"/>
    <w:rsid w:val="004C1CEE"/>
    <w:rsid w:val="004C245F"/>
    <w:rsid w:val="004C44A8"/>
    <w:rsid w:val="004C6011"/>
    <w:rsid w:val="004C683C"/>
    <w:rsid w:val="004D2527"/>
    <w:rsid w:val="004D2AAA"/>
    <w:rsid w:val="004D4459"/>
    <w:rsid w:val="004D4491"/>
    <w:rsid w:val="004D4FC8"/>
    <w:rsid w:val="004D5616"/>
    <w:rsid w:val="004D574F"/>
    <w:rsid w:val="004D6638"/>
    <w:rsid w:val="004D6973"/>
    <w:rsid w:val="004E0EF7"/>
    <w:rsid w:val="004E3997"/>
    <w:rsid w:val="004E4E74"/>
    <w:rsid w:val="004E5D2C"/>
    <w:rsid w:val="004E6260"/>
    <w:rsid w:val="004E7359"/>
    <w:rsid w:val="004E7E8E"/>
    <w:rsid w:val="004E7EC0"/>
    <w:rsid w:val="004F3BB1"/>
    <w:rsid w:val="004F6222"/>
    <w:rsid w:val="004F6D9C"/>
    <w:rsid w:val="004F7553"/>
    <w:rsid w:val="0050064D"/>
    <w:rsid w:val="005024B7"/>
    <w:rsid w:val="005042C2"/>
    <w:rsid w:val="00505878"/>
    <w:rsid w:val="00506A79"/>
    <w:rsid w:val="00512184"/>
    <w:rsid w:val="00512402"/>
    <w:rsid w:val="0051364F"/>
    <w:rsid w:val="00513967"/>
    <w:rsid w:val="0051548F"/>
    <w:rsid w:val="005167BD"/>
    <w:rsid w:val="00516AF6"/>
    <w:rsid w:val="00516E3F"/>
    <w:rsid w:val="00516ECB"/>
    <w:rsid w:val="00516F38"/>
    <w:rsid w:val="00522797"/>
    <w:rsid w:val="00524109"/>
    <w:rsid w:val="00524EB0"/>
    <w:rsid w:val="00524F44"/>
    <w:rsid w:val="0052533A"/>
    <w:rsid w:val="00525346"/>
    <w:rsid w:val="00530111"/>
    <w:rsid w:val="0053047A"/>
    <w:rsid w:val="00531E3C"/>
    <w:rsid w:val="00532490"/>
    <w:rsid w:val="0053263C"/>
    <w:rsid w:val="00534DBE"/>
    <w:rsid w:val="00534DDB"/>
    <w:rsid w:val="005352B0"/>
    <w:rsid w:val="0053583A"/>
    <w:rsid w:val="005362B0"/>
    <w:rsid w:val="00544C0D"/>
    <w:rsid w:val="00545921"/>
    <w:rsid w:val="00546706"/>
    <w:rsid w:val="00550041"/>
    <w:rsid w:val="00551B74"/>
    <w:rsid w:val="00551BF2"/>
    <w:rsid w:val="00551DDC"/>
    <w:rsid w:val="00552046"/>
    <w:rsid w:val="005533E4"/>
    <w:rsid w:val="00554A13"/>
    <w:rsid w:val="005553FD"/>
    <w:rsid w:val="005558D8"/>
    <w:rsid w:val="00557D3A"/>
    <w:rsid w:val="00557E55"/>
    <w:rsid w:val="005610D0"/>
    <w:rsid w:val="005641AE"/>
    <w:rsid w:val="005645E1"/>
    <w:rsid w:val="0056578B"/>
    <w:rsid w:val="00566AAF"/>
    <w:rsid w:val="00566AD8"/>
    <w:rsid w:val="00570949"/>
    <w:rsid w:val="00570CC0"/>
    <w:rsid w:val="00570D81"/>
    <w:rsid w:val="00571006"/>
    <w:rsid w:val="005711DA"/>
    <w:rsid w:val="00571FB5"/>
    <w:rsid w:val="00574B4D"/>
    <w:rsid w:val="00576B0C"/>
    <w:rsid w:val="00576F95"/>
    <w:rsid w:val="0057723A"/>
    <w:rsid w:val="00577F86"/>
    <w:rsid w:val="00577FA2"/>
    <w:rsid w:val="00581E59"/>
    <w:rsid w:val="00581F47"/>
    <w:rsid w:val="00583644"/>
    <w:rsid w:val="0058536E"/>
    <w:rsid w:val="0058640A"/>
    <w:rsid w:val="005872A1"/>
    <w:rsid w:val="00590CE4"/>
    <w:rsid w:val="005913B7"/>
    <w:rsid w:val="00591466"/>
    <w:rsid w:val="00592DA8"/>
    <w:rsid w:val="00592DB5"/>
    <w:rsid w:val="00592E04"/>
    <w:rsid w:val="00593543"/>
    <w:rsid w:val="00594065"/>
    <w:rsid w:val="00597A50"/>
    <w:rsid w:val="005A0BD7"/>
    <w:rsid w:val="005A1190"/>
    <w:rsid w:val="005A1E5F"/>
    <w:rsid w:val="005A2A77"/>
    <w:rsid w:val="005A41A9"/>
    <w:rsid w:val="005A4C36"/>
    <w:rsid w:val="005A5FFA"/>
    <w:rsid w:val="005A7D8A"/>
    <w:rsid w:val="005B02AC"/>
    <w:rsid w:val="005B049F"/>
    <w:rsid w:val="005B09EF"/>
    <w:rsid w:val="005B3527"/>
    <w:rsid w:val="005B3D70"/>
    <w:rsid w:val="005B43C1"/>
    <w:rsid w:val="005B499B"/>
    <w:rsid w:val="005B55EA"/>
    <w:rsid w:val="005B5AD0"/>
    <w:rsid w:val="005B632D"/>
    <w:rsid w:val="005B6330"/>
    <w:rsid w:val="005B68B6"/>
    <w:rsid w:val="005C0D1E"/>
    <w:rsid w:val="005C1C90"/>
    <w:rsid w:val="005C2EE5"/>
    <w:rsid w:val="005C3BD3"/>
    <w:rsid w:val="005C41B2"/>
    <w:rsid w:val="005C427B"/>
    <w:rsid w:val="005C60CE"/>
    <w:rsid w:val="005C6535"/>
    <w:rsid w:val="005C67EE"/>
    <w:rsid w:val="005C6C4F"/>
    <w:rsid w:val="005C7536"/>
    <w:rsid w:val="005C7965"/>
    <w:rsid w:val="005C7AD0"/>
    <w:rsid w:val="005D1A47"/>
    <w:rsid w:val="005D1BED"/>
    <w:rsid w:val="005D1CAD"/>
    <w:rsid w:val="005D3296"/>
    <w:rsid w:val="005D4154"/>
    <w:rsid w:val="005D7538"/>
    <w:rsid w:val="005E00E7"/>
    <w:rsid w:val="005E07F1"/>
    <w:rsid w:val="005E0DB7"/>
    <w:rsid w:val="005E15C0"/>
    <w:rsid w:val="005E2556"/>
    <w:rsid w:val="005E4EEE"/>
    <w:rsid w:val="005E6988"/>
    <w:rsid w:val="005F0476"/>
    <w:rsid w:val="005F1607"/>
    <w:rsid w:val="005F3850"/>
    <w:rsid w:val="005F4AAD"/>
    <w:rsid w:val="005F4D28"/>
    <w:rsid w:val="005F645E"/>
    <w:rsid w:val="005F68F5"/>
    <w:rsid w:val="005F697D"/>
    <w:rsid w:val="00600308"/>
    <w:rsid w:val="00600A22"/>
    <w:rsid w:val="006011B7"/>
    <w:rsid w:val="00601A2C"/>
    <w:rsid w:val="00601BB4"/>
    <w:rsid w:val="00602E2E"/>
    <w:rsid w:val="00604C1C"/>
    <w:rsid w:val="00604E90"/>
    <w:rsid w:val="006052AE"/>
    <w:rsid w:val="006066C0"/>
    <w:rsid w:val="00607020"/>
    <w:rsid w:val="0060703C"/>
    <w:rsid w:val="00607F71"/>
    <w:rsid w:val="00613374"/>
    <w:rsid w:val="006148B0"/>
    <w:rsid w:val="00614C8E"/>
    <w:rsid w:val="00614EE4"/>
    <w:rsid w:val="00616237"/>
    <w:rsid w:val="00617AAB"/>
    <w:rsid w:val="00620C33"/>
    <w:rsid w:val="00621D6B"/>
    <w:rsid w:val="00625340"/>
    <w:rsid w:val="00625753"/>
    <w:rsid w:val="00627043"/>
    <w:rsid w:val="006303D4"/>
    <w:rsid w:val="00631BA0"/>
    <w:rsid w:val="0063204E"/>
    <w:rsid w:val="00634741"/>
    <w:rsid w:val="00634EF8"/>
    <w:rsid w:val="00637959"/>
    <w:rsid w:val="006415ED"/>
    <w:rsid w:val="00641B0C"/>
    <w:rsid w:val="00642928"/>
    <w:rsid w:val="0064312A"/>
    <w:rsid w:val="00643D30"/>
    <w:rsid w:val="00646662"/>
    <w:rsid w:val="00650B22"/>
    <w:rsid w:val="0065153C"/>
    <w:rsid w:val="006536C7"/>
    <w:rsid w:val="00654F5E"/>
    <w:rsid w:val="00655501"/>
    <w:rsid w:val="0065566B"/>
    <w:rsid w:val="00656220"/>
    <w:rsid w:val="0066068F"/>
    <w:rsid w:val="0066100F"/>
    <w:rsid w:val="0066235A"/>
    <w:rsid w:val="0066396D"/>
    <w:rsid w:val="00665E03"/>
    <w:rsid w:val="006667BC"/>
    <w:rsid w:val="00666965"/>
    <w:rsid w:val="00667870"/>
    <w:rsid w:val="00670793"/>
    <w:rsid w:val="006711CA"/>
    <w:rsid w:val="00671529"/>
    <w:rsid w:val="00673A47"/>
    <w:rsid w:val="006749B7"/>
    <w:rsid w:val="0067516A"/>
    <w:rsid w:val="00675F31"/>
    <w:rsid w:val="0067654C"/>
    <w:rsid w:val="00676836"/>
    <w:rsid w:val="00676E0F"/>
    <w:rsid w:val="00676E15"/>
    <w:rsid w:val="00677EFE"/>
    <w:rsid w:val="00680CAD"/>
    <w:rsid w:val="00681CF1"/>
    <w:rsid w:val="00682496"/>
    <w:rsid w:val="00682DE9"/>
    <w:rsid w:val="00683700"/>
    <w:rsid w:val="00684121"/>
    <w:rsid w:val="00684D41"/>
    <w:rsid w:val="00685096"/>
    <w:rsid w:val="00685F32"/>
    <w:rsid w:val="006865BD"/>
    <w:rsid w:val="0068682C"/>
    <w:rsid w:val="00686998"/>
    <w:rsid w:val="00686E53"/>
    <w:rsid w:val="0068702A"/>
    <w:rsid w:val="00687400"/>
    <w:rsid w:val="006905FA"/>
    <w:rsid w:val="006923F6"/>
    <w:rsid w:val="00695280"/>
    <w:rsid w:val="00695EE5"/>
    <w:rsid w:val="00697DFD"/>
    <w:rsid w:val="006A1723"/>
    <w:rsid w:val="006A2473"/>
    <w:rsid w:val="006A2B9C"/>
    <w:rsid w:val="006A2BCF"/>
    <w:rsid w:val="006A31AE"/>
    <w:rsid w:val="006A4F5F"/>
    <w:rsid w:val="006A5EED"/>
    <w:rsid w:val="006A6ACD"/>
    <w:rsid w:val="006A7522"/>
    <w:rsid w:val="006A788D"/>
    <w:rsid w:val="006A79F9"/>
    <w:rsid w:val="006B0862"/>
    <w:rsid w:val="006B0CF9"/>
    <w:rsid w:val="006B10F5"/>
    <w:rsid w:val="006B163A"/>
    <w:rsid w:val="006B512E"/>
    <w:rsid w:val="006B67D5"/>
    <w:rsid w:val="006C09A3"/>
    <w:rsid w:val="006C0DAC"/>
    <w:rsid w:val="006C1080"/>
    <w:rsid w:val="006C1F59"/>
    <w:rsid w:val="006C3C0C"/>
    <w:rsid w:val="006C5A3A"/>
    <w:rsid w:val="006C5BC4"/>
    <w:rsid w:val="006C6152"/>
    <w:rsid w:val="006C647F"/>
    <w:rsid w:val="006C68C1"/>
    <w:rsid w:val="006C7C00"/>
    <w:rsid w:val="006D2397"/>
    <w:rsid w:val="006D2A43"/>
    <w:rsid w:val="006D30BE"/>
    <w:rsid w:val="006D3BAD"/>
    <w:rsid w:val="006D4D1E"/>
    <w:rsid w:val="006D640B"/>
    <w:rsid w:val="006D6C0B"/>
    <w:rsid w:val="006D6E95"/>
    <w:rsid w:val="006D7314"/>
    <w:rsid w:val="006D7551"/>
    <w:rsid w:val="006E12E7"/>
    <w:rsid w:val="006E214A"/>
    <w:rsid w:val="006E335B"/>
    <w:rsid w:val="006E647A"/>
    <w:rsid w:val="006E75EE"/>
    <w:rsid w:val="006E7D09"/>
    <w:rsid w:val="006E7F0F"/>
    <w:rsid w:val="006F0B47"/>
    <w:rsid w:val="006F1051"/>
    <w:rsid w:val="006F1DE8"/>
    <w:rsid w:val="006F1F5A"/>
    <w:rsid w:val="006F3689"/>
    <w:rsid w:val="006F4488"/>
    <w:rsid w:val="006F4B76"/>
    <w:rsid w:val="006F5BD0"/>
    <w:rsid w:val="006F66F1"/>
    <w:rsid w:val="006F76A2"/>
    <w:rsid w:val="007006FC"/>
    <w:rsid w:val="007019F1"/>
    <w:rsid w:val="00701C9D"/>
    <w:rsid w:val="0070398C"/>
    <w:rsid w:val="00706609"/>
    <w:rsid w:val="00707778"/>
    <w:rsid w:val="00707A90"/>
    <w:rsid w:val="0071020C"/>
    <w:rsid w:val="007106E3"/>
    <w:rsid w:val="007114B8"/>
    <w:rsid w:val="007125CE"/>
    <w:rsid w:val="00712EFE"/>
    <w:rsid w:val="007155F9"/>
    <w:rsid w:val="00716314"/>
    <w:rsid w:val="00720E07"/>
    <w:rsid w:val="00720FEA"/>
    <w:rsid w:val="00721EDA"/>
    <w:rsid w:val="00722C91"/>
    <w:rsid w:val="0072399C"/>
    <w:rsid w:val="0072440B"/>
    <w:rsid w:val="007250AC"/>
    <w:rsid w:val="007265F5"/>
    <w:rsid w:val="007268F9"/>
    <w:rsid w:val="007301AF"/>
    <w:rsid w:val="007305DC"/>
    <w:rsid w:val="00732524"/>
    <w:rsid w:val="007326B7"/>
    <w:rsid w:val="00732D1E"/>
    <w:rsid w:val="00736306"/>
    <w:rsid w:val="007364A6"/>
    <w:rsid w:val="007370A8"/>
    <w:rsid w:val="00737C73"/>
    <w:rsid w:val="00737DDB"/>
    <w:rsid w:val="007403A0"/>
    <w:rsid w:val="00740FC4"/>
    <w:rsid w:val="00741D73"/>
    <w:rsid w:val="00745B13"/>
    <w:rsid w:val="00746A82"/>
    <w:rsid w:val="007507C4"/>
    <w:rsid w:val="00751432"/>
    <w:rsid w:val="00751749"/>
    <w:rsid w:val="007519BF"/>
    <w:rsid w:val="00752648"/>
    <w:rsid w:val="00752D59"/>
    <w:rsid w:val="00752F6A"/>
    <w:rsid w:val="00754A4E"/>
    <w:rsid w:val="007550A2"/>
    <w:rsid w:val="00755BCD"/>
    <w:rsid w:val="00756097"/>
    <w:rsid w:val="00757508"/>
    <w:rsid w:val="0075790B"/>
    <w:rsid w:val="007605A4"/>
    <w:rsid w:val="00760C54"/>
    <w:rsid w:val="00761E0D"/>
    <w:rsid w:val="0076213A"/>
    <w:rsid w:val="00762289"/>
    <w:rsid w:val="00762805"/>
    <w:rsid w:val="00763398"/>
    <w:rsid w:val="007642E9"/>
    <w:rsid w:val="007644F8"/>
    <w:rsid w:val="00764FB3"/>
    <w:rsid w:val="00765BDD"/>
    <w:rsid w:val="00770077"/>
    <w:rsid w:val="00771351"/>
    <w:rsid w:val="00773423"/>
    <w:rsid w:val="00773707"/>
    <w:rsid w:val="00774688"/>
    <w:rsid w:val="0077536D"/>
    <w:rsid w:val="00776D62"/>
    <w:rsid w:val="00782CAD"/>
    <w:rsid w:val="00782FBD"/>
    <w:rsid w:val="0078333A"/>
    <w:rsid w:val="00784A3E"/>
    <w:rsid w:val="00784FF9"/>
    <w:rsid w:val="00785A64"/>
    <w:rsid w:val="007864D1"/>
    <w:rsid w:val="00786ED6"/>
    <w:rsid w:val="007870B0"/>
    <w:rsid w:val="00787338"/>
    <w:rsid w:val="007873D9"/>
    <w:rsid w:val="0079114C"/>
    <w:rsid w:val="007918A1"/>
    <w:rsid w:val="00794580"/>
    <w:rsid w:val="00794EFC"/>
    <w:rsid w:val="0079511C"/>
    <w:rsid w:val="007956CA"/>
    <w:rsid w:val="007965AE"/>
    <w:rsid w:val="007976F6"/>
    <w:rsid w:val="007A07ED"/>
    <w:rsid w:val="007A10A9"/>
    <w:rsid w:val="007A1337"/>
    <w:rsid w:val="007A160A"/>
    <w:rsid w:val="007A2F9F"/>
    <w:rsid w:val="007A33D3"/>
    <w:rsid w:val="007A3D24"/>
    <w:rsid w:val="007A5230"/>
    <w:rsid w:val="007A6016"/>
    <w:rsid w:val="007A65B4"/>
    <w:rsid w:val="007A7CF8"/>
    <w:rsid w:val="007B0416"/>
    <w:rsid w:val="007B0887"/>
    <w:rsid w:val="007B0C9D"/>
    <w:rsid w:val="007B1BCB"/>
    <w:rsid w:val="007B242F"/>
    <w:rsid w:val="007B2434"/>
    <w:rsid w:val="007B2CA9"/>
    <w:rsid w:val="007B4449"/>
    <w:rsid w:val="007B514D"/>
    <w:rsid w:val="007B66D4"/>
    <w:rsid w:val="007C2E7D"/>
    <w:rsid w:val="007C34F0"/>
    <w:rsid w:val="007C4E49"/>
    <w:rsid w:val="007C52B0"/>
    <w:rsid w:val="007C5636"/>
    <w:rsid w:val="007C699E"/>
    <w:rsid w:val="007C70E4"/>
    <w:rsid w:val="007C7981"/>
    <w:rsid w:val="007D0DDF"/>
    <w:rsid w:val="007D129C"/>
    <w:rsid w:val="007D1D40"/>
    <w:rsid w:val="007D2B5B"/>
    <w:rsid w:val="007D3F43"/>
    <w:rsid w:val="007D46C8"/>
    <w:rsid w:val="007D63EE"/>
    <w:rsid w:val="007D742A"/>
    <w:rsid w:val="007E1074"/>
    <w:rsid w:val="007E1229"/>
    <w:rsid w:val="007E125F"/>
    <w:rsid w:val="007E1441"/>
    <w:rsid w:val="007E1BF5"/>
    <w:rsid w:val="007E26D6"/>
    <w:rsid w:val="007E298F"/>
    <w:rsid w:val="007E2A6F"/>
    <w:rsid w:val="007E2E53"/>
    <w:rsid w:val="007E306F"/>
    <w:rsid w:val="007E3976"/>
    <w:rsid w:val="007E4C8F"/>
    <w:rsid w:val="007E4C95"/>
    <w:rsid w:val="007E53DF"/>
    <w:rsid w:val="007E5758"/>
    <w:rsid w:val="007E6950"/>
    <w:rsid w:val="007E753F"/>
    <w:rsid w:val="007F0FEB"/>
    <w:rsid w:val="007F16A9"/>
    <w:rsid w:val="007F4462"/>
    <w:rsid w:val="008014CB"/>
    <w:rsid w:val="00801BFA"/>
    <w:rsid w:val="00802857"/>
    <w:rsid w:val="00802C15"/>
    <w:rsid w:val="0080396E"/>
    <w:rsid w:val="00804729"/>
    <w:rsid w:val="00804B90"/>
    <w:rsid w:val="008056FD"/>
    <w:rsid w:val="008059C2"/>
    <w:rsid w:val="00806BA5"/>
    <w:rsid w:val="00807BF8"/>
    <w:rsid w:val="00807E93"/>
    <w:rsid w:val="00812280"/>
    <w:rsid w:val="00812B51"/>
    <w:rsid w:val="0081362B"/>
    <w:rsid w:val="00815510"/>
    <w:rsid w:val="008157AF"/>
    <w:rsid w:val="008158F3"/>
    <w:rsid w:val="00817E57"/>
    <w:rsid w:val="00820E31"/>
    <w:rsid w:val="008217EA"/>
    <w:rsid w:val="00823109"/>
    <w:rsid w:val="00823237"/>
    <w:rsid w:val="00824A2E"/>
    <w:rsid w:val="008258E6"/>
    <w:rsid w:val="00826C81"/>
    <w:rsid w:val="00826EC7"/>
    <w:rsid w:val="00831334"/>
    <w:rsid w:val="00831CB5"/>
    <w:rsid w:val="00832ABC"/>
    <w:rsid w:val="00835E44"/>
    <w:rsid w:val="00836030"/>
    <w:rsid w:val="0084271D"/>
    <w:rsid w:val="00844990"/>
    <w:rsid w:val="00844CB2"/>
    <w:rsid w:val="00844FAF"/>
    <w:rsid w:val="008461F1"/>
    <w:rsid w:val="00846421"/>
    <w:rsid w:val="0084669A"/>
    <w:rsid w:val="00847CCA"/>
    <w:rsid w:val="00847E81"/>
    <w:rsid w:val="00847FFA"/>
    <w:rsid w:val="008502ED"/>
    <w:rsid w:val="00850690"/>
    <w:rsid w:val="00851100"/>
    <w:rsid w:val="0085123A"/>
    <w:rsid w:val="008522F1"/>
    <w:rsid w:val="00853E5D"/>
    <w:rsid w:val="008543BD"/>
    <w:rsid w:val="0085472F"/>
    <w:rsid w:val="00854761"/>
    <w:rsid w:val="00854C66"/>
    <w:rsid w:val="0085571C"/>
    <w:rsid w:val="00855F7E"/>
    <w:rsid w:val="0085753E"/>
    <w:rsid w:val="008579F8"/>
    <w:rsid w:val="00857D89"/>
    <w:rsid w:val="00860C0B"/>
    <w:rsid w:val="00860E17"/>
    <w:rsid w:val="00861600"/>
    <w:rsid w:val="00861914"/>
    <w:rsid w:val="008625A8"/>
    <w:rsid w:val="00864AFB"/>
    <w:rsid w:val="00864FAC"/>
    <w:rsid w:val="0086744D"/>
    <w:rsid w:val="00867C6E"/>
    <w:rsid w:val="00870919"/>
    <w:rsid w:val="00870E37"/>
    <w:rsid w:val="0087256B"/>
    <w:rsid w:val="00872B16"/>
    <w:rsid w:val="00872E9D"/>
    <w:rsid w:val="008741F5"/>
    <w:rsid w:val="0087423A"/>
    <w:rsid w:val="00875A83"/>
    <w:rsid w:val="008761BC"/>
    <w:rsid w:val="008764C6"/>
    <w:rsid w:val="00877018"/>
    <w:rsid w:val="0088380B"/>
    <w:rsid w:val="0088381A"/>
    <w:rsid w:val="00884231"/>
    <w:rsid w:val="008872C4"/>
    <w:rsid w:val="00890C7C"/>
    <w:rsid w:val="008914B0"/>
    <w:rsid w:val="00891783"/>
    <w:rsid w:val="00891F91"/>
    <w:rsid w:val="00892D66"/>
    <w:rsid w:val="00893872"/>
    <w:rsid w:val="0089388F"/>
    <w:rsid w:val="00893DDC"/>
    <w:rsid w:val="00894E76"/>
    <w:rsid w:val="00895F4A"/>
    <w:rsid w:val="008960E0"/>
    <w:rsid w:val="00896922"/>
    <w:rsid w:val="00896C9E"/>
    <w:rsid w:val="00896CDE"/>
    <w:rsid w:val="008A02E5"/>
    <w:rsid w:val="008A0BFE"/>
    <w:rsid w:val="008A0D34"/>
    <w:rsid w:val="008A1267"/>
    <w:rsid w:val="008A7087"/>
    <w:rsid w:val="008B1AD0"/>
    <w:rsid w:val="008B2EFC"/>
    <w:rsid w:val="008B6364"/>
    <w:rsid w:val="008B6AC3"/>
    <w:rsid w:val="008B6CC8"/>
    <w:rsid w:val="008B720E"/>
    <w:rsid w:val="008B7386"/>
    <w:rsid w:val="008B7D7D"/>
    <w:rsid w:val="008C028D"/>
    <w:rsid w:val="008C0ACC"/>
    <w:rsid w:val="008C3A4F"/>
    <w:rsid w:val="008C4B9D"/>
    <w:rsid w:val="008C594B"/>
    <w:rsid w:val="008C68CC"/>
    <w:rsid w:val="008D0BDC"/>
    <w:rsid w:val="008D131D"/>
    <w:rsid w:val="008D1713"/>
    <w:rsid w:val="008D1793"/>
    <w:rsid w:val="008D2163"/>
    <w:rsid w:val="008D3450"/>
    <w:rsid w:val="008D3730"/>
    <w:rsid w:val="008D3F24"/>
    <w:rsid w:val="008D4BD7"/>
    <w:rsid w:val="008D4C69"/>
    <w:rsid w:val="008D4EAF"/>
    <w:rsid w:val="008D5108"/>
    <w:rsid w:val="008E040E"/>
    <w:rsid w:val="008E09C0"/>
    <w:rsid w:val="008E13E2"/>
    <w:rsid w:val="008E2D29"/>
    <w:rsid w:val="008E3CB6"/>
    <w:rsid w:val="008E4325"/>
    <w:rsid w:val="008E6907"/>
    <w:rsid w:val="008E6971"/>
    <w:rsid w:val="008E6B8C"/>
    <w:rsid w:val="008E6C68"/>
    <w:rsid w:val="008E7801"/>
    <w:rsid w:val="008F108B"/>
    <w:rsid w:val="008F134D"/>
    <w:rsid w:val="008F2B29"/>
    <w:rsid w:val="008F3149"/>
    <w:rsid w:val="008F51D3"/>
    <w:rsid w:val="009004E6"/>
    <w:rsid w:val="00900EAE"/>
    <w:rsid w:val="00901C72"/>
    <w:rsid w:val="00901DE1"/>
    <w:rsid w:val="0090276E"/>
    <w:rsid w:val="00902E9D"/>
    <w:rsid w:val="00903080"/>
    <w:rsid w:val="00905990"/>
    <w:rsid w:val="00906066"/>
    <w:rsid w:val="0090684C"/>
    <w:rsid w:val="009070DE"/>
    <w:rsid w:val="00907A72"/>
    <w:rsid w:val="0091205E"/>
    <w:rsid w:val="009122A4"/>
    <w:rsid w:val="00912828"/>
    <w:rsid w:val="009134B7"/>
    <w:rsid w:val="00913A72"/>
    <w:rsid w:val="009172AF"/>
    <w:rsid w:val="0091779E"/>
    <w:rsid w:val="00917986"/>
    <w:rsid w:val="00920245"/>
    <w:rsid w:val="00921AA4"/>
    <w:rsid w:val="00921AE9"/>
    <w:rsid w:val="00922124"/>
    <w:rsid w:val="00922E70"/>
    <w:rsid w:val="00923A12"/>
    <w:rsid w:val="009246D0"/>
    <w:rsid w:val="00924D01"/>
    <w:rsid w:val="009250AB"/>
    <w:rsid w:val="00925130"/>
    <w:rsid w:val="00925B85"/>
    <w:rsid w:val="0092600C"/>
    <w:rsid w:val="00926B6D"/>
    <w:rsid w:val="0092771A"/>
    <w:rsid w:val="0093217D"/>
    <w:rsid w:val="00932259"/>
    <w:rsid w:val="00935804"/>
    <w:rsid w:val="00935D25"/>
    <w:rsid w:val="00937546"/>
    <w:rsid w:val="00937FA9"/>
    <w:rsid w:val="00940A32"/>
    <w:rsid w:val="00940F46"/>
    <w:rsid w:val="009411B4"/>
    <w:rsid w:val="009415E8"/>
    <w:rsid w:val="009425C0"/>
    <w:rsid w:val="00942E63"/>
    <w:rsid w:val="00944E7A"/>
    <w:rsid w:val="00945460"/>
    <w:rsid w:val="00945F8D"/>
    <w:rsid w:val="0094657F"/>
    <w:rsid w:val="00946F1D"/>
    <w:rsid w:val="00947456"/>
    <w:rsid w:val="00947AFA"/>
    <w:rsid w:val="0095011D"/>
    <w:rsid w:val="00950A25"/>
    <w:rsid w:val="00950A8F"/>
    <w:rsid w:val="00951440"/>
    <w:rsid w:val="00952364"/>
    <w:rsid w:val="009527B6"/>
    <w:rsid w:val="0095303D"/>
    <w:rsid w:val="00953270"/>
    <w:rsid w:val="009537B5"/>
    <w:rsid w:val="0095383E"/>
    <w:rsid w:val="00953E70"/>
    <w:rsid w:val="00955972"/>
    <w:rsid w:val="00956960"/>
    <w:rsid w:val="00956D4D"/>
    <w:rsid w:val="0095729E"/>
    <w:rsid w:val="009572FB"/>
    <w:rsid w:val="00960372"/>
    <w:rsid w:val="00960AAC"/>
    <w:rsid w:val="009619E2"/>
    <w:rsid w:val="00963907"/>
    <w:rsid w:val="0096395C"/>
    <w:rsid w:val="00964D24"/>
    <w:rsid w:val="009659F2"/>
    <w:rsid w:val="00966520"/>
    <w:rsid w:val="009667CF"/>
    <w:rsid w:val="00966B84"/>
    <w:rsid w:val="0096764D"/>
    <w:rsid w:val="00967A83"/>
    <w:rsid w:val="0097018C"/>
    <w:rsid w:val="00972482"/>
    <w:rsid w:val="00972502"/>
    <w:rsid w:val="00973899"/>
    <w:rsid w:val="009741E2"/>
    <w:rsid w:val="0097551E"/>
    <w:rsid w:val="009758CC"/>
    <w:rsid w:val="009763F1"/>
    <w:rsid w:val="0098076F"/>
    <w:rsid w:val="00981408"/>
    <w:rsid w:val="00981689"/>
    <w:rsid w:val="009828FA"/>
    <w:rsid w:val="009829B1"/>
    <w:rsid w:val="009845D5"/>
    <w:rsid w:val="00987D2E"/>
    <w:rsid w:val="00990196"/>
    <w:rsid w:val="00990746"/>
    <w:rsid w:val="009908C3"/>
    <w:rsid w:val="00990EC2"/>
    <w:rsid w:val="00991485"/>
    <w:rsid w:val="009916E1"/>
    <w:rsid w:val="009923AA"/>
    <w:rsid w:val="00993394"/>
    <w:rsid w:val="009936A5"/>
    <w:rsid w:val="0099495E"/>
    <w:rsid w:val="00997D8D"/>
    <w:rsid w:val="009A060C"/>
    <w:rsid w:val="009A0900"/>
    <w:rsid w:val="009A372B"/>
    <w:rsid w:val="009A38E3"/>
    <w:rsid w:val="009A4879"/>
    <w:rsid w:val="009A5261"/>
    <w:rsid w:val="009A5319"/>
    <w:rsid w:val="009A5903"/>
    <w:rsid w:val="009A617F"/>
    <w:rsid w:val="009A627E"/>
    <w:rsid w:val="009A7227"/>
    <w:rsid w:val="009A78FB"/>
    <w:rsid w:val="009B08E5"/>
    <w:rsid w:val="009B0CA9"/>
    <w:rsid w:val="009B1370"/>
    <w:rsid w:val="009B1860"/>
    <w:rsid w:val="009B2B62"/>
    <w:rsid w:val="009B39F0"/>
    <w:rsid w:val="009B4BB3"/>
    <w:rsid w:val="009B5230"/>
    <w:rsid w:val="009B566D"/>
    <w:rsid w:val="009B57DE"/>
    <w:rsid w:val="009B7864"/>
    <w:rsid w:val="009C0B12"/>
    <w:rsid w:val="009C29CF"/>
    <w:rsid w:val="009C3C57"/>
    <w:rsid w:val="009C3E56"/>
    <w:rsid w:val="009C418A"/>
    <w:rsid w:val="009C4456"/>
    <w:rsid w:val="009C5C4C"/>
    <w:rsid w:val="009C62C9"/>
    <w:rsid w:val="009C6531"/>
    <w:rsid w:val="009D0139"/>
    <w:rsid w:val="009D1B43"/>
    <w:rsid w:val="009D1C34"/>
    <w:rsid w:val="009D29EA"/>
    <w:rsid w:val="009D2DEE"/>
    <w:rsid w:val="009D4E82"/>
    <w:rsid w:val="009D67FB"/>
    <w:rsid w:val="009D68F7"/>
    <w:rsid w:val="009D6CDB"/>
    <w:rsid w:val="009D7FAA"/>
    <w:rsid w:val="009E2055"/>
    <w:rsid w:val="009E3628"/>
    <w:rsid w:val="009E42CD"/>
    <w:rsid w:val="009E442A"/>
    <w:rsid w:val="009E4C65"/>
    <w:rsid w:val="009E4F66"/>
    <w:rsid w:val="009E7200"/>
    <w:rsid w:val="009F129E"/>
    <w:rsid w:val="009F1FF2"/>
    <w:rsid w:val="009F2377"/>
    <w:rsid w:val="009F4554"/>
    <w:rsid w:val="009F4618"/>
    <w:rsid w:val="009F4D6F"/>
    <w:rsid w:val="009F5CDC"/>
    <w:rsid w:val="009F639A"/>
    <w:rsid w:val="009F678B"/>
    <w:rsid w:val="009F750D"/>
    <w:rsid w:val="00A016CF"/>
    <w:rsid w:val="00A026D0"/>
    <w:rsid w:val="00A028CF"/>
    <w:rsid w:val="00A03D75"/>
    <w:rsid w:val="00A03F2E"/>
    <w:rsid w:val="00A04431"/>
    <w:rsid w:val="00A04933"/>
    <w:rsid w:val="00A04E75"/>
    <w:rsid w:val="00A05B13"/>
    <w:rsid w:val="00A071AB"/>
    <w:rsid w:val="00A07D3D"/>
    <w:rsid w:val="00A11A9E"/>
    <w:rsid w:val="00A11E52"/>
    <w:rsid w:val="00A130D1"/>
    <w:rsid w:val="00A13E84"/>
    <w:rsid w:val="00A14ABA"/>
    <w:rsid w:val="00A16991"/>
    <w:rsid w:val="00A17292"/>
    <w:rsid w:val="00A20479"/>
    <w:rsid w:val="00A212B5"/>
    <w:rsid w:val="00A23459"/>
    <w:rsid w:val="00A250DE"/>
    <w:rsid w:val="00A252F6"/>
    <w:rsid w:val="00A25601"/>
    <w:rsid w:val="00A2635D"/>
    <w:rsid w:val="00A2670E"/>
    <w:rsid w:val="00A316B0"/>
    <w:rsid w:val="00A33A3C"/>
    <w:rsid w:val="00A34618"/>
    <w:rsid w:val="00A34FDC"/>
    <w:rsid w:val="00A3526A"/>
    <w:rsid w:val="00A40131"/>
    <w:rsid w:val="00A4034F"/>
    <w:rsid w:val="00A40BDB"/>
    <w:rsid w:val="00A4230D"/>
    <w:rsid w:val="00A42364"/>
    <w:rsid w:val="00A445BA"/>
    <w:rsid w:val="00A454B2"/>
    <w:rsid w:val="00A46BF6"/>
    <w:rsid w:val="00A47139"/>
    <w:rsid w:val="00A50D41"/>
    <w:rsid w:val="00A515B2"/>
    <w:rsid w:val="00A519A7"/>
    <w:rsid w:val="00A525E0"/>
    <w:rsid w:val="00A5265A"/>
    <w:rsid w:val="00A531AB"/>
    <w:rsid w:val="00A537EB"/>
    <w:rsid w:val="00A547A6"/>
    <w:rsid w:val="00A54A9C"/>
    <w:rsid w:val="00A563D5"/>
    <w:rsid w:val="00A57393"/>
    <w:rsid w:val="00A57E91"/>
    <w:rsid w:val="00A57EEC"/>
    <w:rsid w:val="00A605C8"/>
    <w:rsid w:val="00A61B23"/>
    <w:rsid w:val="00A620F6"/>
    <w:rsid w:val="00A634CE"/>
    <w:rsid w:val="00A64389"/>
    <w:rsid w:val="00A64BDA"/>
    <w:rsid w:val="00A657D9"/>
    <w:rsid w:val="00A67097"/>
    <w:rsid w:val="00A701E4"/>
    <w:rsid w:val="00A71CBD"/>
    <w:rsid w:val="00A72333"/>
    <w:rsid w:val="00A73098"/>
    <w:rsid w:val="00A73DEA"/>
    <w:rsid w:val="00A750E2"/>
    <w:rsid w:val="00A775CF"/>
    <w:rsid w:val="00A804F3"/>
    <w:rsid w:val="00A80DE8"/>
    <w:rsid w:val="00A82C7F"/>
    <w:rsid w:val="00A84386"/>
    <w:rsid w:val="00A863DA"/>
    <w:rsid w:val="00A86446"/>
    <w:rsid w:val="00A90F82"/>
    <w:rsid w:val="00A914F2"/>
    <w:rsid w:val="00A91D60"/>
    <w:rsid w:val="00A92B2C"/>
    <w:rsid w:val="00A935C8"/>
    <w:rsid w:val="00A95483"/>
    <w:rsid w:val="00A9563E"/>
    <w:rsid w:val="00AA05C7"/>
    <w:rsid w:val="00AA08BA"/>
    <w:rsid w:val="00AA183E"/>
    <w:rsid w:val="00AA1B38"/>
    <w:rsid w:val="00AA2060"/>
    <w:rsid w:val="00AA26AC"/>
    <w:rsid w:val="00AA2929"/>
    <w:rsid w:val="00AA2F68"/>
    <w:rsid w:val="00AA506C"/>
    <w:rsid w:val="00AA5CA5"/>
    <w:rsid w:val="00AA625E"/>
    <w:rsid w:val="00AB2B18"/>
    <w:rsid w:val="00AB2CB7"/>
    <w:rsid w:val="00AB405A"/>
    <w:rsid w:val="00AB48B7"/>
    <w:rsid w:val="00AB4FF5"/>
    <w:rsid w:val="00AB6388"/>
    <w:rsid w:val="00AB67D6"/>
    <w:rsid w:val="00AC0424"/>
    <w:rsid w:val="00AC26AB"/>
    <w:rsid w:val="00AC2E54"/>
    <w:rsid w:val="00AC30B5"/>
    <w:rsid w:val="00AC60B5"/>
    <w:rsid w:val="00AD0579"/>
    <w:rsid w:val="00AD16C5"/>
    <w:rsid w:val="00AD2FD3"/>
    <w:rsid w:val="00AD48F3"/>
    <w:rsid w:val="00AD4AC1"/>
    <w:rsid w:val="00AD5073"/>
    <w:rsid w:val="00AD54BD"/>
    <w:rsid w:val="00AD5C4F"/>
    <w:rsid w:val="00AD5D43"/>
    <w:rsid w:val="00AD5E81"/>
    <w:rsid w:val="00AD725D"/>
    <w:rsid w:val="00AE06F8"/>
    <w:rsid w:val="00AE1080"/>
    <w:rsid w:val="00AE14C3"/>
    <w:rsid w:val="00AE2A34"/>
    <w:rsid w:val="00AE3A01"/>
    <w:rsid w:val="00AE3DD7"/>
    <w:rsid w:val="00AE3F6A"/>
    <w:rsid w:val="00AE593D"/>
    <w:rsid w:val="00AE65AF"/>
    <w:rsid w:val="00AF09FE"/>
    <w:rsid w:val="00AF35BD"/>
    <w:rsid w:val="00AF5BAF"/>
    <w:rsid w:val="00AF5CED"/>
    <w:rsid w:val="00AF6A23"/>
    <w:rsid w:val="00B0147E"/>
    <w:rsid w:val="00B02D1C"/>
    <w:rsid w:val="00B036B4"/>
    <w:rsid w:val="00B039E0"/>
    <w:rsid w:val="00B04706"/>
    <w:rsid w:val="00B0473F"/>
    <w:rsid w:val="00B04D69"/>
    <w:rsid w:val="00B05FBE"/>
    <w:rsid w:val="00B06045"/>
    <w:rsid w:val="00B12138"/>
    <w:rsid w:val="00B1225F"/>
    <w:rsid w:val="00B126D0"/>
    <w:rsid w:val="00B13051"/>
    <w:rsid w:val="00B14D6D"/>
    <w:rsid w:val="00B15264"/>
    <w:rsid w:val="00B15804"/>
    <w:rsid w:val="00B162E6"/>
    <w:rsid w:val="00B1630B"/>
    <w:rsid w:val="00B16AD2"/>
    <w:rsid w:val="00B20AA9"/>
    <w:rsid w:val="00B215AC"/>
    <w:rsid w:val="00B25993"/>
    <w:rsid w:val="00B25DB5"/>
    <w:rsid w:val="00B27038"/>
    <w:rsid w:val="00B30511"/>
    <w:rsid w:val="00B314C2"/>
    <w:rsid w:val="00B31514"/>
    <w:rsid w:val="00B31763"/>
    <w:rsid w:val="00B31E50"/>
    <w:rsid w:val="00B33503"/>
    <w:rsid w:val="00B346AD"/>
    <w:rsid w:val="00B35DB8"/>
    <w:rsid w:val="00B3604A"/>
    <w:rsid w:val="00B36336"/>
    <w:rsid w:val="00B37712"/>
    <w:rsid w:val="00B429EA"/>
    <w:rsid w:val="00B43212"/>
    <w:rsid w:val="00B433F9"/>
    <w:rsid w:val="00B43512"/>
    <w:rsid w:val="00B443D5"/>
    <w:rsid w:val="00B45250"/>
    <w:rsid w:val="00B45A1D"/>
    <w:rsid w:val="00B51248"/>
    <w:rsid w:val="00B52116"/>
    <w:rsid w:val="00B53D1D"/>
    <w:rsid w:val="00B55691"/>
    <w:rsid w:val="00B55EC0"/>
    <w:rsid w:val="00B56856"/>
    <w:rsid w:val="00B573BB"/>
    <w:rsid w:val="00B57C36"/>
    <w:rsid w:val="00B57EEA"/>
    <w:rsid w:val="00B60595"/>
    <w:rsid w:val="00B607B9"/>
    <w:rsid w:val="00B60E4B"/>
    <w:rsid w:val="00B617A1"/>
    <w:rsid w:val="00B628F5"/>
    <w:rsid w:val="00B64028"/>
    <w:rsid w:val="00B64943"/>
    <w:rsid w:val="00B659B8"/>
    <w:rsid w:val="00B670D3"/>
    <w:rsid w:val="00B6716D"/>
    <w:rsid w:val="00B70066"/>
    <w:rsid w:val="00B700B1"/>
    <w:rsid w:val="00B70C35"/>
    <w:rsid w:val="00B70EFC"/>
    <w:rsid w:val="00B72298"/>
    <w:rsid w:val="00B7242C"/>
    <w:rsid w:val="00B72679"/>
    <w:rsid w:val="00B72A1B"/>
    <w:rsid w:val="00B73DF0"/>
    <w:rsid w:val="00B74E70"/>
    <w:rsid w:val="00B75069"/>
    <w:rsid w:val="00B754A1"/>
    <w:rsid w:val="00B76040"/>
    <w:rsid w:val="00B76845"/>
    <w:rsid w:val="00B768AE"/>
    <w:rsid w:val="00B76CD1"/>
    <w:rsid w:val="00B7743A"/>
    <w:rsid w:val="00B7787D"/>
    <w:rsid w:val="00B80DE1"/>
    <w:rsid w:val="00B82FB4"/>
    <w:rsid w:val="00B83398"/>
    <w:rsid w:val="00B83CC4"/>
    <w:rsid w:val="00B849FE"/>
    <w:rsid w:val="00B85F97"/>
    <w:rsid w:val="00B903E5"/>
    <w:rsid w:val="00B90A9C"/>
    <w:rsid w:val="00B91D85"/>
    <w:rsid w:val="00B91ED5"/>
    <w:rsid w:val="00B93082"/>
    <w:rsid w:val="00B9519F"/>
    <w:rsid w:val="00B972AE"/>
    <w:rsid w:val="00BA1843"/>
    <w:rsid w:val="00BA2934"/>
    <w:rsid w:val="00BA35EB"/>
    <w:rsid w:val="00BA6E42"/>
    <w:rsid w:val="00BA740C"/>
    <w:rsid w:val="00BA78BC"/>
    <w:rsid w:val="00BA7D4B"/>
    <w:rsid w:val="00BB0070"/>
    <w:rsid w:val="00BB08F9"/>
    <w:rsid w:val="00BB0AFD"/>
    <w:rsid w:val="00BB0D37"/>
    <w:rsid w:val="00BB2BB7"/>
    <w:rsid w:val="00BB39B7"/>
    <w:rsid w:val="00BB3AF1"/>
    <w:rsid w:val="00BB438D"/>
    <w:rsid w:val="00BB4ECE"/>
    <w:rsid w:val="00BB55A9"/>
    <w:rsid w:val="00BB569C"/>
    <w:rsid w:val="00BB57E0"/>
    <w:rsid w:val="00BB5E65"/>
    <w:rsid w:val="00BB6241"/>
    <w:rsid w:val="00BC08B5"/>
    <w:rsid w:val="00BC21AB"/>
    <w:rsid w:val="00BC23F2"/>
    <w:rsid w:val="00BC4827"/>
    <w:rsid w:val="00BC6144"/>
    <w:rsid w:val="00BC73AF"/>
    <w:rsid w:val="00BD29D2"/>
    <w:rsid w:val="00BD2DAB"/>
    <w:rsid w:val="00BD3641"/>
    <w:rsid w:val="00BD4F4E"/>
    <w:rsid w:val="00BD5357"/>
    <w:rsid w:val="00BD60C2"/>
    <w:rsid w:val="00BD636E"/>
    <w:rsid w:val="00BD7398"/>
    <w:rsid w:val="00BD7CD2"/>
    <w:rsid w:val="00BE03F2"/>
    <w:rsid w:val="00BE1506"/>
    <w:rsid w:val="00BE2091"/>
    <w:rsid w:val="00BE2E31"/>
    <w:rsid w:val="00BE2E4C"/>
    <w:rsid w:val="00BE588D"/>
    <w:rsid w:val="00BE5DF7"/>
    <w:rsid w:val="00BE5F46"/>
    <w:rsid w:val="00BE71A6"/>
    <w:rsid w:val="00BE7454"/>
    <w:rsid w:val="00BE7C6C"/>
    <w:rsid w:val="00BF0A82"/>
    <w:rsid w:val="00BF431A"/>
    <w:rsid w:val="00BF5244"/>
    <w:rsid w:val="00BF658A"/>
    <w:rsid w:val="00BF68DA"/>
    <w:rsid w:val="00C01192"/>
    <w:rsid w:val="00C0310F"/>
    <w:rsid w:val="00C03214"/>
    <w:rsid w:val="00C033B1"/>
    <w:rsid w:val="00C0444D"/>
    <w:rsid w:val="00C05423"/>
    <w:rsid w:val="00C05893"/>
    <w:rsid w:val="00C07B9B"/>
    <w:rsid w:val="00C1004C"/>
    <w:rsid w:val="00C10582"/>
    <w:rsid w:val="00C10743"/>
    <w:rsid w:val="00C109B5"/>
    <w:rsid w:val="00C10C3F"/>
    <w:rsid w:val="00C12CDA"/>
    <w:rsid w:val="00C130B1"/>
    <w:rsid w:val="00C152D1"/>
    <w:rsid w:val="00C15CED"/>
    <w:rsid w:val="00C16CD0"/>
    <w:rsid w:val="00C1704B"/>
    <w:rsid w:val="00C17666"/>
    <w:rsid w:val="00C17C0F"/>
    <w:rsid w:val="00C206D6"/>
    <w:rsid w:val="00C22A21"/>
    <w:rsid w:val="00C22E27"/>
    <w:rsid w:val="00C23798"/>
    <w:rsid w:val="00C25A60"/>
    <w:rsid w:val="00C27119"/>
    <w:rsid w:val="00C2762D"/>
    <w:rsid w:val="00C27673"/>
    <w:rsid w:val="00C30277"/>
    <w:rsid w:val="00C304EA"/>
    <w:rsid w:val="00C32042"/>
    <w:rsid w:val="00C32E97"/>
    <w:rsid w:val="00C35383"/>
    <w:rsid w:val="00C35A27"/>
    <w:rsid w:val="00C35DDA"/>
    <w:rsid w:val="00C36AA9"/>
    <w:rsid w:val="00C376D4"/>
    <w:rsid w:val="00C40B75"/>
    <w:rsid w:val="00C4553E"/>
    <w:rsid w:val="00C4749B"/>
    <w:rsid w:val="00C50139"/>
    <w:rsid w:val="00C50BD5"/>
    <w:rsid w:val="00C50E82"/>
    <w:rsid w:val="00C51D18"/>
    <w:rsid w:val="00C52D25"/>
    <w:rsid w:val="00C532F3"/>
    <w:rsid w:val="00C53461"/>
    <w:rsid w:val="00C538E4"/>
    <w:rsid w:val="00C53919"/>
    <w:rsid w:val="00C53B41"/>
    <w:rsid w:val="00C54D1C"/>
    <w:rsid w:val="00C55ED1"/>
    <w:rsid w:val="00C563A8"/>
    <w:rsid w:val="00C57869"/>
    <w:rsid w:val="00C610B6"/>
    <w:rsid w:val="00C611B3"/>
    <w:rsid w:val="00C61FA0"/>
    <w:rsid w:val="00C624C0"/>
    <w:rsid w:val="00C631A4"/>
    <w:rsid w:val="00C65C4E"/>
    <w:rsid w:val="00C70887"/>
    <w:rsid w:val="00C71B43"/>
    <w:rsid w:val="00C732F6"/>
    <w:rsid w:val="00C7695C"/>
    <w:rsid w:val="00C771DF"/>
    <w:rsid w:val="00C81443"/>
    <w:rsid w:val="00C815DD"/>
    <w:rsid w:val="00C81CDB"/>
    <w:rsid w:val="00C82052"/>
    <w:rsid w:val="00C8331A"/>
    <w:rsid w:val="00C84EFA"/>
    <w:rsid w:val="00C856FA"/>
    <w:rsid w:val="00C85B8D"/>
    <w:rsid w:val="00C878BC"/>
    <w:rsid w:val="00C90313"/>
    <w:rsid w:val="00C908D8"/>
    <w:rsid w:val="00C91A5D"/>
    <w:rsid w:val="00C93305"/>
    <w:rsid w:val="00C93CB7"/>
    <w:rsid w:val="00C94F22"/>
    <w:rsid w:val="00C95165"/>
    <w:rsid w:val="00C97B24"/>
    <w:rsid w:val="00CA048B"/>
    <w:rsid w:val="00CA048C"/>
    <w:rsid w:val="00CA13DB"/>
    <w:rsid w:val="00CA575A"/>
    <w:rsid w:val="00CA5830"/>
    <w:rsid w:val="00CA67E3"/>
    <w:rsid w:val="00CA6E30"/>
    <w:rsid w:val="00CA6F8E"/>
    <w:rsid w:val="00CA7357"/>
    <w:rsid w:val="00CA74BD"/>
    <w:rsid w:val="00CA7723"/>
    <w:rsid w:val="00CA7FED"/>
    <w:rsid w:val="00CB22F3"/>
    <w:rsid w:val="00CB2E47"/>
    <w:rsid w:val="00CB3095"/>
    <w:rsid w:val="00CB39E7"/>
    <w:rsid w:val="00CB45F3"/>
    <w:rsid w:val="00CB6FBB"/>
    <w:rsid w:val="00CB753A"/>
    <w:rsid w:val="00CC0064"/>
    <w:rsid w:val="00CC15D4"/>
    <w:rsid w:val="00CC1D54"/>
    <w:rsid w:val="00CC1DA3"/>
    <w:rsid w:val="00CC2125"/>
    <w:rsid w:val="00CC2875"/>
    <w:rsid w:val="00CC383C"/>
    <w:rsid w:val="00CC4EBF"/>
    <w:rsid w:val="00CC63AE"/>
    <w:rsid w:val="00CD0F70"/>
    <w:rsid w:val="00CD18EC"/>
    <w:rsid w:val="00CD2269"/>
    <w:rsid w:val="00CD226F"/>
    <w:rsid w:val="00CD2A8E"/>
    <w:rsid w:val="00CD362E"/>
    <w:rsid w:val="00CD484B"/>
    <w:rsid w:val="00CD631C"/>
    <w:rsid w:val="00CE050C"/>
    <w:rsid w:val="00CE06A9"/>
    <w:rsid w:val="00CE119E"/>
    <w:rsid w:val="00CE12C0"/>
    <w:rsid w:val="00CE1353"/>
    <w:rsid w:val="00CE23BF"/>
    <w:rsid w:val="00CE4A2C"/>
    <w:rsid w:val="00CE4E84"/>
    <w:rsid w:val="00CE650F"/>
    <w:rsid w:val="00CE65A6"/>
    <w:rsid w:val="00CE7DC7"/>
    <w:rsid w:val="00CF160C"/>
    <w:rsid w:val="00CF190E"/>
    <w:rsid w:val="00CF23BA"/>
    <w:rsid w:val="00CF330A"/>
    <w:rsid w:val="00CF36CC"/>
    <w:rsid w:val="00CF3A3E"/>
    <w:rsid w:val="00CF653C"/>
    <w:rsid w:val="00CF67A4"/>
    <w:rsid w:val="00CF76A1"/>
    <w:rsid w:val="00CF7C88"/>
    <w:rsid w:val="00D016DE"/>
    <w:rsid w:val="00D02002"/>
    <w:rsid w:val="00D0221D"/>
    <w:rsid w:val="00D02E7B"/>
    <w:rsid w:val="00D032D0"/>
    <w:rsid w:val="00D05FB9"/>
    <w:rsid w:val="00D11CA8"/>
    <w:rsid w:val="00D12926"/>
    <w:rsid w:val="00D1427E"/>
    <w:rsid w:val="00D14549"/>
    <w:rsid w:val="00D155E4"/>
    <w:rsid w:val="00D156C9"/>
    <w:rsid w:val="00D1724E"/>
    <w:rsid w:val="00D1751A"/>
    <w:rsid w:val="00D17556"/>
    <w:rsid w:val="00D177A6"/>
    <w:rsid w:val="00D178B4"/>
    <w:rsid w:val="00D213DD"/>
    <w:rsid w:val="00D21662"/>
    <w:rsid w:val="00D222CE"/>
    <w:rsid w:val="00D222FC"/>
    <w:rsid w:val="00D22438"/>
    <w:rsid w:val="00D247BF"/>
    <w:rsid w:val="00D2519F"/>
    <w:rsid w:val="00D25B6D"/>
    <w:rsid w:val="00D3117F"/>
    <w:rsid w:val="00D31C9A"/>
    <w:rsid w:val="00D3225B"/>
    <w:rsid w:val="00D331B3"/>
    <w:rsid w:val="00D33FDB"/>
    <w:rsid w:val="00D34C0F"/>
    <w:rsid w:val="00D35B54"/>
    <w:rsid w:val="00D361D3"/>
    <w:rsid w:val="00D4016A"/>
    <w:rsid w:val="00D4053A"/>
    <w:rsid w:val="00D414D7"/>
    <w:rsid w:val="00D41996"/>
    <w:rsid w:val="00D4340C"/>
    <w:rsid w:val="00D437A4"/>
    <w:rsid w:val="00D44266"/>
    <w:rsid w:val="00D44EA2"/>
    <w:rsid w:val="00D455A2"/>
    <w:rsid w:val="00D45C66"/>
    <w:rsid w:val="00D4600D"/>
    <w:rsid w:val="00D469AA"/>
    <w:rsid w:val="00D50572"/>
    <w:rsid w:val="00D50BBC"/>
    <w:rsid w:val="00D50CF4"/>
    <w:rsid w:val="00D5148C"/>
    <w:rsid w:val="00D516A3"/>
    <w:rsid w:val="00D52068"/>
    <w:rsid w:val="00D52237"/>
    <w:rsid w:val="00D53EAA"/>
    <w:rsid w:val="00D53F5F"/>
    <w:rsid w:val="00D54159"/>
    <w:rsid w:val="00D5553D"/>
    <w:rsid w:val="00D57B66"/>
    <w:rsid w:val="00D610D0"/>
    <w:rsid w:val="00D61AAD"/>
    <w:rsid w:val="00D62B28"/>
    <w:rsid w:val="00D64FA1"/>
    <w:rsid w:val="00D65A85"/>
    <w:rsid w:val="00D705F5"/>
    <w:rsid w:val="00D7097A"/>
    <w:rsid w:val="00D71B49"/>
    <w:rsid w:val="00D72DA3"/>
    <w:rsid w:val="00D731CE"/>
    <w:rsid w:val="00D73805"/>
    <w:rsid w:val="00D73A30"/>
    <w:rsid w:val="00D74229"/>
    <w:rsid w:val="00D742AA"/>
    <w:rsid w:val="00D74E0C"/>
    <w:rsid w:val="00D76C54"/>
    <w:rsid w:val="00D77A37"/>
    <w:rsid w:val="00D800A9"/>
    <w:rsid w:val="00D804AD"/>
    <w:rsid w:val="00D81196"/>
    <w:rsid w:val="00D833BB"/>
    <w:rsid w:val="00D83C9D"/>
    <w:rsid w:val="00D83FB2"/>
    <w:rsid w:val="00D84098"/>
    <w:rsid w:val="00D847DD"/>
    <w:rsid w:val="00D849D4"/>
    <w:rsid w:val="00D84B7B"/>
    <w:rsid w:val="00D854B8"/>
    <w:rsid w:val="00D857A8"/>
    <w:rsid w:val="00D85B42"/>
    <w:rsid w:val="00D85BF7"/>
    <w:rsid w:val="00D870F2"/>
    <w:rsid w:val="00D906EA"/>
    <w:rsid w:val="00D91037"/>
    <w:rsid w:val="00D910DC"/>
    <w:rsid w:val="00D91E75"/>
    <w:rsid w:val="00D92A11"/>
    <w:rsid w:val="00D93F8E"/>
    <w:rsid w:val="00D9426D"/>
    <w:rsid w:val="00D9542D"/>
    <w:rsid w:val="00DA0957"/>
    <w:rsid w:val="00DA17F3"/>
    <w:rsid w:val="00DA26B9"/>
    <w:rsid w:val="00DA411C"/>
    <w:rsid w:val="00DA4735"/>
    <w:rsid w:val="00DA54E9"/>
    <w:rsid w:val="00DA67B7"/>
    <w:rsid w:val="00DA6E42"/>
    <w:rsid w:val="00DA7D8D"/>
    <w:rsid w:val="00DB1F55"/>
    <w:rsid w:val="00DB1FA4"/>
    <w:rsid w:val="00DB26F4"/>
    <w:rsid w:val="00DB4287"/>
    <w:rsid w:val="00DB4C95"/>
    <w:rsid w:val="00DB5ED4"/>
    <w:rsid w:val="00DB7D0E"/>
    <w:rsid w:val="00DC07E5"/>
    <w:rsid w:val="00DC1712"/>
    <w:rsid w:val="00DC19D5"/>
    <w:rsid w:val="00DC3753"/>
    <w:rsid w:val="00DC49C5"/>
    <w:rsid w:val="00DC4E73"/>
    <w:rsid w:val="00DC598D"/>
    <w:rsid w:val="00DC5EC2"/>
    <w:rsid w:val="00DC7D16"/>
    <w:rsid w:val="00DC7D93"/>
    <w:rsid w:val="00DC7E9D"/>
    <w:rsid w:val="00DD0AC3"/>
    <w:rsid w:val="00DD12C4"/>
    <w:rsid w:val="00DD2004"/>
    <w:rsid w:val="00DD21FE"/>
    <w:rsid w:val="00DD3B4A"/>
    <w:rsid w:val="00DD51E3"/>
    <w:rsid w:val="00DD5FD0"/>
    <w:rsid w:val="00DD635C"/>
    <w:rsid w:val="00DD70DA"/>
    <w:rsid w:val="00DD7181"/>
    <w:rsid w:val="00DD77D8"/>
    <w:rsid w:val="00DD7D1F"/>
    <w:rsid w:val="00DE1D85"/>
    <w:rsid w:val="00DE242F"/>
    <w:rsid w:val="00DE31AE"/>
    <w:rsid w:val="00DE3221"/>
    <w:rsid w:val="00DE3C4D"/>
    <w:rsid w:val="00DE521E"/>
    <w:rsid w:val="00DE704C"/>
    <w:rsid w:val="00DE730B"/>
    <w:rsid w:val="00DE7395"/>
    <w:rsid w:val="00DE78FE"/>
    <w:rsid w:val="00DE7AD0"/>
    <w:rsid w:val="00DE7CA6"/>
    <w:rsid w:val="00DF0AC9"/>
    <w:rsid w:val="00DF1D77"/>
    <w:rsid w:val="00DF2FE6"/>
    <w:rsid w:val="00DF365A"/>
    <w:rsid w:val="00DF48E5"/>
    <w:rsid w:val="00DF4CD2"/>
    <w:rsid w:val="00DF5C41"/>
    <w:rsid w:val="00DF70E1"/>
    <w:rsid w:val="00DF7944"/>
    <w:rsid w:val="00E01351"/>
    <w:rsid w:val="00E0254F"/>
    <w:rsid w:val="00E02635"/>
    <w:rsid w:val="00E02C2B"/>
    <w:rsid w:val="00E03285"/>
    <w:rsid w:val="00E03BB2"/>
    <w:rsid w:val="00E042D2"/>
    <w:rsid w:val="00E04E84"/>
    <w:rsid w:val="00E05F39"/>
    <w:rsid w:val="00E064AB"/>
    <w:rsid w:val="00E064CB"/>
    <w:rsid w:val="00E0685B"/>
    <w:rsid w:val="00E06FAB"/>
    <w:rsid w:val="00E07803"/>
    <w:rsid w:val="00E118C4"/>
    <w:rsid w:val="00E11E9B"/>
    <w:rsid w:val="00E12012"/>
    <w:rsid w:val="00E128BA"/>
    <w:rsid w:val="00E13CE4"/>
    <w:rsid w:val="00E14BDE"/>
    <w:rsid w:val="00E14EA9"/>
    <w:rsid w:val="00E15651"/>
    <w:rsid w:val="00E1600E"/>
    <w:rsid w:val="00E20EC5"/>
    <w:rsid w:val="00E21231"/>
    <w:rsid w:val="00E2415B"/>
    <w:rsid w:val="00E25201"/>
    <w:rsid w:val="00E32D21"/>
    <w:rsid w:val="00E331AF"/>
    <w:rsid w:val="00E35A5D"/>
    <w:rsid w:val="00E35C26"/>
    <w:rsid w:val="00E360EC"/>
    <w:rsid w:val="00E36197"/>
    <w:rsid w:val="00E37B40"/>
    <w:rsid w:val="00E406AC"/>
    <w:rsid w:val="00E4295D"/>
    <w:rsid w:val="00E43A06"/>
    <w:rsid w:val="00E442CE"/>
    <w:rsid w:val="00E4534C"/>
    <w:rsid w:val="00E4580F"/>
    <w:rsid w:val="00E45C68"/>
    <w:rsid w:val="00E45CA2"/>
    <w:rsid w:val="00E47BF8"/>
    <w:rsid w:val="00E518EA"/>
    <w:rsid w:val="00E51C00"/>
    <w:rsid w:val="00E5606F"/>
    <w:rsid w:val="00E579FB"/>
    <w:rsid w:val="00E600FB"/>
    <w:rsid w:val="00E60DCC"/>
    <w:rsid w:val="00E617E4"/>
    <w:rsid w:val="00E61810"/>
    <w:rsid w:val="00E6213A"/>
    <w:rsid w:val="00E62BB6"/>
    <w:rsid w:val="00E62FAA"/>
    <w:rsid w:val="00E63F5C"/>
    <w:rsid w:val="00E640D1"/>
    <w:rsid w:val="00E64F23"/>
    <w:rsid w:val="00E65DD6"/>
    <w:rsid w:val="00E66428"/>
    <w:rsid w:val="00E66B05"/>
    <w:rsid w:val="00E71C24"/>
    <w:rsid w:val="00E72291"/>
    <w:rsid w:val="00E74131"/>
    <w:rsid w:val="00E74801"/>
    <w:rsid w:val="00E74E0C"/>
    <w:rsid w:val="00E771F5"/>
    <w:rsid w:val="00E7773D"/>
    <w:rsid w:val="00E80D93"/>
    <w:rsid w:val="00E826CF"/>
    <w:rsid w:val="00E83D2C"/>
    <w:rsid w:val="00E84B07"/>
    <w:rsid w:val="00E85396"/>
    <w:rsid w:val="00E857F1"/>
    <w:rsid w:val="00E865F9"/>
    <w:rsid w:val="00E86FB5"/>
    <w:rsid w:val="00E87690"/>
    <w:rsid w:val="00E919E1"/>
    <w:rsid w:val="00E92592"/>
    <w:rsid w:val="00E92E8D"/>
    <w:rsid w:val="00E96157"/>
    <w:rsid w:val="00E977DE"/>
    <w:rsid w:val="00E97E53"/>
    <w:rsid w:val="00E97E98"/>
    <w:rsid w:val="00EA0CDD"/>
    <w:rsid w:val="00EA0CE4"/>
    <w:rsid w:val="00EA3D6E"/>
    <w:rsid w:val="00EA5004"/>
    <w:rsid w:val="00EA553D"/>
    <w:rsid w:val="00EA5808"/>
    <w:rsid w:val="00EA69DB"/>
    <w:rsid w:val="00EA6D4B"/>
    <w:rsid w:val="00EA7319"/>
    <w:rsid w:val="00EA796F"/>
    <w:rsid w:val="00EB1990"/>
    <w:rsid w:val="00EB1CB7"/>
    <w:rsid w:val="00EB1F2D"/>
    <w:rsid w:val="00EB5CDF"/>
    <w:rsid w:val="00EB6315"/>
    <w:rsid w:val="00EB65F5"/>
    <w:rsid w:val="00EB7B5F"/>
    <w:rsid w:val="00EC008A"/>
    <w:rsid w:val="00EC11BD"/>
    <w:rsid w:val="00EC3CFE"/>
    <w:rsid w:val="00EC5141"/>
    <w:rsid w:val="00EC6286"/>
    <w:rsid w:val="00EC794F"/>
    <w:rsid w:val="00EC7F03"/>
    <w:rsid w:val="00ED0124"/>
    <w:rsid w:val="00ED34AD"/>
    <w:rsid w:val="00ED4328"/>
    <w:rsid w:val="00ED44B7"/>
    <w:rsid w:val="00ED4D46"/>
    <w:rsid w:val="00ED4D7A"/>
    <w:rsid w:val="00ED591E"/>
    <w:rsid w:val="00ED6BE8"/>
    <w:rsid w:val="00ED6C48"/>
    <w:rsid w:val="00ED781B"/>
    <w:rsid w:val="00EE1906"/>
    <w:rsid w:val="00EE24D8"/>
    <w:rsid w:val="00EE3094"/>
    <w:rsid w:val="00EE331A"/>
    <w:rsid w:val="00EE39D7"/>
    <w:rsid w:val="00EE4E3A"/>
    <w:rsid w:val="00EE5288"/>
    <w:rsid w:val="00EE52DB"/>
    <w:rsid w:val="00EE5ADC"/>
    <w:rsid w:val="00EF07A3"/>
    <w:rsid w:val="00EF0C07"/>
    <w:rsid w:val="00EF1410"/>
    <w:rsid w:val="00EF2434"/>
    <w:rsid w:val="00EF4282"/>
    <w:rsid w:val="00EF4D49"/>
    <w:rsid w:val="00EF5344"/>
    <w:rsid w:val="00EF74F5"/>
    <w:rsid w:val="00EF7AAA"/>
    <w:rsid w:val="00EF7ACA"/>
    <w:rsid w:val="00F01581"/>
    <w:rsid w:val="00F01B1F"/>
    <w:rsid w:val="00F04A59"/>
    <w:rsid w:val="00F0761C"/>
    <w:rsid w:val="00F07978"/>
    <w:rsid w:val="00F10DFB"/>
    <w:rsid w:val="00F10FEC"/>
    <w:rsid w:val="00F111E3"/>
    <w:rsid w:val="00F11492"/>
    <w:rsid w:val="00F12609"/>
    <w:rsid w:val="00F1266A"/>
    <w:rsid w:val="00F1272D"/>
    <w:rsid w:val="00F12883"/>
    <w:rsid w:val="00F13A35"/>
    <w:rsid w:val="00F156B1"/>
    <w:rsid w:val="00F165FD"/>
    <w:rsid w:val="00F20000"/>
    <w:rsid w:val="00F2026F"/>
    <w:rsid w:val="00F20AC1"/>
    <w:rsid w:val="00F22D99"/>
    <w:rsid w:val="00F24040"/>
    <w:rsid w:val="00F24EBD"/>
    <w:rsid w:val="00F25D44"/>
    <w:rsid w:val="00F25DF6"/>
    <w:rsid w:val="00F26577"/>
    <w:rsid w:val="00F2691D"/>
    <w:rsid w:val="00F26C42"/>
    <w:rsid w:val="00F26E30"/>
    <w:rsid w:val="00F302A3"/>
    <w:rsid w:val="00F30F24"/>
    <w:rsid w:val="00F31B0E"/>
    <w:rsid w:val="00F327A5"/>
    <w:rsid w:val="00F344D1"/>
    <w:rsid w:val="00F354A6"/>
    <w:rsid w:val="00F35737"/>
    <w:rsid w:val="00F36D6A"/>
    <w:rsid w:val="00F3740C"/>
    <w:rsid w:val="00F40CA5"/>
    <w:rsid w:val="00F40EC7"/>
    <w:rsid w:val="00F41100"/>
    <w:rsid w:val="00F41F0F"/>
    <w:rsid w:val="00F42335"/>
    <w:rsid w:val="00F42B66"/>
    <w:rsid w:val="00F44BC7"/>
    <w:rsid w:val="00F454B9"/>
    <w:rsid w:val="00F45532"/>
    <w:rsid w:val="00F45571"/>
    <w:rsid w:val="00F45F3F"/>
    <w:rsid w:val="00F47E17"/>
    <w:rsid w:val="00F50914"/>
    <w:rsid w:val="00F51D53"/>
    <w:rsid w:val="00F532FD"/>
    <w:rsid w:val="00F54062"/>
    <w:rsid w:val="00F549A5"/>
    <w:rsid w:val="00F5632A"/>
    <w:rsid w:val="00F576AF"/>
    <w:rsid w:val="00F603F4"/>
    <w:rsid w:val="00F63630"/>
    <w:rsid w:val="00F63C31"/>
    <w:rsid w:val="00F649A7"/>
    <w:rsid w:val="00F65F5D"/>
    <w:rsid w:val="00F6753D"/>
    <w:rsid w:val="00F71F16"/>
    <w:rsid w:val="00F7218D"/>
    <w:rsid w:val="00F74E0B"/>
    <w:rsid w:val="00F7564D"/>
    <w:rsid w:val="00F76C6A"/>
    <w:rsid w:val="00F80326"/>
    <w:rsid w:val="00F806A4"/>
    <w:rsid w:val="00F82020"/>
    <w:rsid w:val="00F82349"/>
    <w:rsid w:val="00F82A6A"/>
    <w:rsid w:val="00F82C95"/>
    <w:rsid w:val="00F83BEB"/>
    <w:rsid w:val="00F83C7C"/>
    <w:rsid w:val="00F84AF1"/>
    <w:rsid w:val="00F85DD4"/>
    <w:rsid w:val="00F86A3A"/>
    <w:rsid w:val="00F86A4A"/>
    <w:rsid w:val="00F877E9"/>
    <w:rsid w:val="00F877F0"/>
    <w:rsid w:val="00F87ECC"/>
    <w:rsid w:val="00F900B1"/>
    <w:rsid w:val="00F907E8"/>
    <w:rsid w:val="00F91C5E"/>
    <w:rsid w:val="00F9231B"/>
    <w:rsid w:val="00F938EC"/>
    <w:rsid w:val="00F939B5"/>
    <w:rsid w:val="00F94511"/>
    <w:rsid w:val="00F94C48"/>
    <w:rsid w:val="00F969AA"/>
    <w:rsid w:val="00F970CB"/>
    <w:rsid w:val="00F970EA"/>
    <w:rsid w:val="00F9796B"/>
    <w:rsid w:val="00FA0E3E"/>
    <w:rsid w:val="00FA14D2"/>
    <w:rsid w:val="00FA1842"/>
    <w:rsid w:val="00FA44F7"/>
    <w:rsid w:val="00FA4D53"/>
    <w:rsid w:val="00FA5DFC"/>
    <w:rsid w:val="00FA6869"/>
    <w:rsid w:val="00FA7140"/>
    <w:rsid w:val="00FB148F"/>
    <w:rsid w:val="00FB2613"/>
    <w:rsid w:val="00FB4C8C"/>
    <w:rsid w:val="00FB4EEC"/>
    <w:rsid w:val="00FB513F"/>
    <w:rsid w:val="00FB5FE5"/>
    <w:rsid w:val="00FB64AB"/>
    <w:rsid w:val="00FB74E2"/>
    <w:rsid w:val="00FB7C0A"/>
    <w:rsid w:val="00FC0341"/>
    <w:rsid w:val="00FC14C0"/>
    <w:rsid w:val="00FC1BBD"/>
    <w:rsid w:val="00FC3123"/>
    <w:rsid w:val="00FC638A"/>
    <w:rsid w:val="00FC67B0"/>
    <w:rsid w:val="00FC7525"/>
    <w:rsid w:val="00FC7C52"/>
    <w:rsid w:val="00FD17B2"/>
    <w:rsid w:val="00FD19B4"/>
    <w:rsid w:val="00FD1E9D"/>
    <w:rsid w:val="00FD25EC"/>
    <w:rsid w:val="00FD28CE"/>
    <w:rsid w:val="00FD353D"/>
    <w:rsid w:val="00FD3E2C"/>
    <w:rsid w:val="00FD5047"/>
    <w:rsid w:val="00FD5449"/>
    <w:rsid w:val="00FD667E"/>
    <w:rsid w:val="00FE01B3"/>
    <w:rsid w:val="00FE0AE9"/>
    <w:rsid w:val="00FE18D0"/>
    <w:rsid w:val="00FE3260"/>
    <w:rsid w:val="00FE3737"/>
    <w:rsid w:val="00FE38D4"/>
    <w:rsid w:val="00FE460A"/>
    <w:rsid w:val="00FE55F7"/>
    <w:rsid w:val="00FE579A"/>
    <w:rsid w:val="00FE6F84"/>
    <w:rsid w:val="00FE71AC"/>
    <w:rsid w:val="00FE75BF"/>
    <w:rsid w:val="00FF0AAC"/>
    <w:rsid w:val="00FF357E"/>
    <w:rsid w:val="00FF3A75"/>
    <w:rsid w:val="00FF3E3F"/>
    <w:rsid w:val="00FF4C80"/>
    <w:rsid w:val="00FF70B0"/>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6FCB944"/>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Footnote Text Char1 Char Char Char,fn,Footnote Reference1,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semiHidden/>
    <w:unhideWhenUsed/>
    <w:rsid w:val="0092600C"/>
    <w:rPr>
      <w:sz w:val="16"/>
      <w:szCs w:val="16"/>
    </w:rPr>
  </w:style>
  <w:style w:type="paragraph" w:styleId="CommentText">
    <w:name w:val="annotation text"/>
    <w:basedOn w:val="Normal"/>
    <w:link w:val="CommentTextChar"/>
    <w:uiPriority w:val="99"/>
    <w:semiHidden/>
    <w:unhideWhenUsed/>
    <w:rsid w:val="0092600C"/>
    <w:pPr>
      <w:spacing w:line="240" w:lineRule="auto"/>
    </w:pPr>
  </w:style>
  <w:style w:type="character" w:customStyle="1" w:styleId="CommentTextChar">
    <w:name w:val="Comment Text Char"/>
    <w:basedOn w:val="DefaultParagraphFont"/>
    <w:link w:val="CommentText"/>
    <w:uiPriority w:val="99"/>
    <w:semiHidden/>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418529737">
      <w:bodyDiv w:val="1"/>
      <w:marLeft w:val="0"/>
      <w:marRight w:val="0"/>
      <w:marTop w:val="0"/>
      <w:marBottom w:val="0"/>
      <w:divBdr>
        <w:top w:val="none" w:sz="0" w:space="0" w:color="auto"/>
        <w:left w:val="none" w:sz="0" w:space="0" w:color="auto"/>
        <w:bottom w:val="none" w:sz="0" w:space="0" w:color="auto"/>
        <w:right w:val="none" w:sz="0" w:space="0" w:color="auto"/>
      </w:divBdr>
    </w:div>
    <w:div w:id="550195044">
      <w:bodyDiv w:val="1"/>
      <w:marLeft w:val="0"/>
      <w:marRight w:val="0"/>
      <w:marTop w:val="0"/>
      <w:marBottom w:val="0"/>
      <w:divBdr>
        <w:top w:val="none" w:sz="0" w:space="0" w:color="auto"/>
        <w:left w:val="none" w:sz="0" w:space="0" w:color="auto"/>
        <w:bottom w:val="none" w:sz="0" w:space="0" w:color="auto"/>
        <w:right w:val="none" w:sz="0" w:space="0" w:color="auto"/>
      </w:divBdr>
    </w:div>
    <w:div w:id="583340952">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10632567">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098913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45685765">
      <w:bodyDiv w:val="1"/>
      <w:marLeft w:val="0"/>
      <w:marRight w:val="0"/>
      <w:marTop w:val="0"/>
      <w:marBottom w:val="0"/>
      <w:divBdr>
        <w:top w:val="none" w:sz="0" w:space="0" w:color="auto"/>
        <w:left w:val="none" w:sz="0" w:space="0" w:color="auto"/>
        <w:bottom w:val="none" w:sz="0" w:space="0" w:color="auto"/>
        <w:right w:val="none" w:sz="0" w:space="0" w:color="auto"/>
      </w:divBdr>
    </w:div>
    <w:div w:id="1488282696">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2.xml><?xml version="1.0" encoding="utf-8"?>
<ds:datastoreItem xmlns:ds="http://schemas.openxmlformats.org/officeDocument/2006/customXml" ds:itemID="{BD04AA8E-55AB-4C36-BA94-F5A054CED1FD}"/>
</file>

<file path=customXml/itemProps3.xml><?xml version="1.0" encoding="utf-8"?>
<ds:datastoreItem xmlns:ds="http://schemas.openxmlformats.org/officeDocument/2006/customXml" ds:itemID="{BDF6B080-11B2-4E54-B854-9CEB8A4EFD8B}">
  <ds:schemaRefs>
    <ds:schemaRef ds:uri="843519ee-602c-4a77-9f98-e0b2d1df032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d113eb4-e65a-468c-82cb-a0357bc1037f"/>
    <ds:schemaRef ds:uri="d0e6e1dd-cead-4b20-a8ab-6c17962cc4ab"/>
    <ds:schemaRef ds:uri="http://purl.org/dc/terms/"/>
    <ds:schemaRef ds:uri="1bb7588e-e247-4215-aaaa-8ddb8e8e8079"/>
    <ds:schemaRef ds:uri="http://www.w3.org/XML/1998/namespace"/>
    <ds:schemaRef ds:uri="http://purl.org/dc/dcmitype/"/>
  </ds:schemaRefs>
</ds:datastoreItem>
</file>

<file path=customXml/itemProps4.xml><?xml version="1.0" encoding="utf-8"?>
<ds:datastoreItem xmlns:ds="http://schemas.openxmlformats.org/officeDocument/2006/customXml" ds:itemID="{D38429B6-2B2B-4DFB-BCFF-8C2EE062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3041</Words>
  <Characters>17338</Characters>
  <Application>Microsoft Office Word</Application>
  <DocSecurity>0</DocSecurity>
  <Lines>144</Lines>
  <Paragraphs>40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CCPR/C/127/DR/3085/2017</vt:lpstr>
      <vt:lpstr>CCPR/C/127/DR/3085/2017</vt:lpstr>
      <vt:lpstr>1606987</vt:lpstr>
    </vt:vector>
  </TitlesOfParts>
  <Company>DCM</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CCPR/C/127/DR/3085/2017</dc:title>
  <dc:subject>CCPR</dc:subject>
  <dc:creator>Giltsoff</dc:creator>
  <cp:keywords/>
  <dc:description/>
  <cp:lastModifiedBy>ABDELAZIM Mohamed</cp:lastModifiedBy>
  <cp:revision>10</cp:revision>
  <cp:lastPrinted>2019-08-27T12:51:00Z</cp:lastPrinted>
  <dcterms:created xsi:type="dcterms:W3CDTF">2019-11-13T13:07:00Z</dcterms:created>
  <dcterms:modified xsi:type="dcterms:W3CDTF">2020-01-14T14:30:00Z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